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45.png" ContentType="image/png"/>
  <Override PartName="/word/media/rId47.png" ContentType="image/png"/>
  <Override PartName="/word/media/rId29.png" ContentType="image/png"/>
  <Override PartName="/word/media/rId41.png" ContentType="image/png"/>
  <Override PartName="/word/media/rId42.png" ContentType="image/png"/>
  <Override PartName="/word/media/rId39.png" ContentType="image/png"/>
  <Override PartName="/word/media/rId34.png" ContentType="image/png"/>
  <Override PartName="/word/media/rId31.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Joint effects of climate, tree size, and year on annual tree growth derived using tree-ring records from ten globally distributed forests</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1">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2">
        <w:r>
          <w:rPr>
            <w:rStyle w:val="Hyperlink"/>
          </w:rPr>
          <w:t xml:space="preserve">Jakub Kašpar</w:t>
        </w:r>
      </w:hyperlink>
      <w:r>
        <w:rPr>
          <w:vertAlign w:val="superscript"/>
        </w:rPr>
        <w:t xml:space="preserve">15</w:t>
      </w:r>
      <w:r>
        <w:t xml:space="preserve">,</w:t>
      </w:r>
      <w:r>
        <w:t xml:space="preserve"> </w:t>
      </w:r>
      <w:hyperlink r:id="rId23">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E. Russo</w:t>
      </w:r>
      <w:r>
        <w:rPr>
          <w:vertAlign w:val="superscript"/>
        </w:rPr>
        <w:t xml:space="preserve">21,22</w:t>
      </w:r>
      <w:r>
        <w:t xml:space="preserve">,</w:t>
      </w:r>
      <w:r>
        <w:t xml:space="preserve"> </w:t>
      </w:r>
      <w:hyperlink r:id="rId24">
        <w:r>
          <w:rPr>
            <w:rStyle w:val="Hyperlink"/>
          </w:rPr>
          <w:t xml:space="preserve">Pavel Šamonil</w:t>
        </w:r>
      </w:hyperlink>
      <w:r>
        <w:rPr>
          <w:vertAlign w:val="superscript"/>
        </w:rPr>
        <w:t xml:space="preserve">15</w:t>
      </w:r>
      <w:r>
        <w:t xml:space="preserve">,</w:t>
      </w:r>
      <w:r>
        <w:t xml:space="preserve"> </w:t>
      </w:r>
      <w:r>
        <w:t xml:space="preserve">Anastasia E. Sniderhan</w:t>
      </w:r>
      <w:r>
        <w:rPr>
          <w:vertAlign w:val="superscript"/>
        </w:rPr>
        <w:t xml:space="preserve">7</w:t>
      </w:r>
      <w:r>
        <w:t xml:space="preserve">,</w:t>
      </w:r>
      <w:r>
        <w:t xml:space="preserve"> </w:t>
      </w:r>
      <w:hyperlink r:id="rId25">
        <w:r>
          <w:rPr>
            <w:rStyle w:val="Hyperlink"/>
          </w:rPr>
          <w:t xml:space="preserve">Alan J. Tepley</w:t>
        </w:r>
      </w:hyperlink>
      <w:r>
        <w:rPr>
          <w:vertAlign w:val="superscript"/>
        </w:rPr>
        <w:t xml:space="preserve">1,22</w:t>
      </w:r>
      <w:r>
        <w:t xml:space="preserve">,</w:t>
      </w:r>
      <w:r>
        <w:t xml:space="preserve"> </w:t>
      </w:r>
      <w:hyperlink r:id="rId26">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23</w:t>
      </w:r>
      <w:r>
        <w:t xml:space="preserve">,</w:t>
      </w:r>
      <w:r>
        <w:t xml:space="preserve"> </w:t>
      </w:r>
      <w:r>
        <w:t xml:space="preserve">Pieter A. Zuidema</w:t>
      </w:r>
      <w:r>
        <w:rPr>
          <w:vertAlign w:val="superscript"/>
        </w:rPr>
        <w:t xml:space="preserve">23</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Department of Geography &amp; Environmental Studies, University of New Mexico; Albuquerque, NM 87131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68588-0118, USA</w:t>
      </w:r>
    </w:p>
    <w:p>
      <w:pPr>
        <w:numPr>
          <w:ilvl w:val="0"/>
          <w:numId w:val="1001"/>
        </w:numPr>
      </w:pPr>
      <w:r>
        <w:t xml:space="preserve">School of Ecosystem and Forest Sciences, University of Melbourne, Richmond VIC 3121, Australia</w:t>
      </w:r>
    </w:p>
    <w:p>
      <w:pPr>
        <w:numPr>
          <w:ilvl w:val="0"/>
          <w:numId w:val="1001"/>
        </w:numPr>
      </w:pPr>
      <w:r>
        <w:t xml:space="preserve">University of Alberta; Edmonton, Alberta, Canada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Faculty of Forestry, University of British Columbia, Vancouver BC,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U.S. Geological Survey, Fort Collins Science Center, New Mexico Landscapes Field Station, Los Alamos, NM 87544,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School of Biological Sciences, University of Nebraska-Lincoln, USA 68588</w:t>
      </w:r>
    </w:p>
    <w:p>
      <w:pPr>
        <w:numPr>
          <w:ilvl w:val="0"/>
          <w:numId w:val="1001"/>
        </w:numPr>
      </w:pPr>
      <w:r>
        <w:t xml:space="preserve">Center for Plant Science Innovation, University of Nebraska – Lincoln, USA 68588</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7">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pPr>
        <w:pStyle w:val="BodyText"/>
      </w:pPr>
      <w:r>
        <w:rPr>
          <w:iCs/>
          <w:i/>
        </w:rPr>
        <w:t xml:space="preserve">This draft manuscript is distributed solely for purposes of scientific peer review. Its content is deliberative and pre-decisional, so it must not be disclosed or released by reviewers. Because the manuscript has not yet been approved for publication by the USGS, it does not represent any official USGS finding or policy.</w:t>
      </w:r>
    </w:p>
    <w:p>
      <w:r>
        <w:br w:type="page"/>
      </w:r>
    </w:p>
    <w:bookmarkStart w:id="28"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conventional tree-ring analysis approaches cannot simultaneously account for the effects of climate, tree size, and time on individual tree growth, which has limited the potential to use tree rings to understand forest productivity, its climate sensitivity, and its global change responses.</w:t>
      </w:r>
      <w:r>
        <w:t xml:space="preserve"> </w:t>
      </w:r>
      <w:r>
        <w:t xml:space="preserve">Here, we develop and apply a new method to simultaneously model non-linear effects of objectively determined primary climate drivers, reconstructed tree diameter (DBH), and year in generalized least squares models that account for the temporal autocorrelation inherent to each individual tree’s growth.</w:t>
      </w:r>
      <w:r>
        <w:t xml:space="preserve"> </w:t>
      </w:r>
      <w:r>
        <w:t xml:space="preserve">We analyze tree-ring data from 3811 trees representing 40 species at 10 globally distributed sites, showing that water, temperature, DBH, and time have additively, and often interactively, influenced annual growth over the past 120 years.</w:t>
      </w:r>
      <w:r>
        <w:t xml:space="preserve"> </w:t>
      </w:r>
      <w:r>
        <w:t xml:space="preserve">Growth responses were predominantly positive to precipitation and negative to temperature, with both included in 78% of top models, and with non-linear responses prevalent (</w:t>
      </w:r>
      <w:r>
        <w:rPr>
          <w:iCs/>
          <w:i/>
        </w:rPr>
        <w:t xml:space="preserve">##%</w:t>
      </w:r>
      <w:r>
        <w:t xml:space="preserve"> </w:t>
      </w:r>
      <w:r>
        <w:t xml:space="preserve">of relationships).</w:t>
      </w:r>
      <w:r>
        <w:t xml:space="preserve"> </w:t>
      </w:r>
      <w:r>
        <w:t xml:space="preserve">Interactions between DBH and climate were common (44% of cases tested).</w:t>
      </w:r>
      <w:r>
        <w:t xml:space="preserve"> </w:t>
      </w:r>
      <w:r>
        <w:t xml:space="preserve">Growth rates – indicated by ring widths, basal area increments, or biomass increments – varied non-linearly with DBH.</w:t>
      </w:r>
      <w:r>
        <w:t xml:space="preserve"> </w:t>
      </w:r>
      <w:r>
        <w:t xml:space="preserve">Accounting for DBH, growth rate varied directionally over time in most species, declining in 90% of species-site combinations.</w:t>
      </w:r>
      <w:r>
        <w:t xml:space="preserve"> </w:t>
      </w:r>
      <w:r>
        <w:t xml:space="preserve">These trends were largely attributable to stand dynamics as cohorts and stands age, which remain challenging to disentangle from global change drivers.</w:t>
      </w:r>
      <w:r>
        <w:t xml:space="preserve"> </w:t>
      </w:r>
      <w:r>
        <w:t xml:space="preserve">By providing a parsimonious approach for characterizing multiple interacting drivers of tree growth, our method reveals a more complete picture of the factors influencing tree growth than has previously been possible.</w:t>
      </w:r>
      <w:r>
        <w:t xml:space="preserve"> </w:t>
      </w:r>
      <w:r>
        <w:rPr>
          <w:iCs/>
          <w:i/>
        </w:rPr>
        <w:t xml:space="preserve">As global change pressures intensify and the need to understand changing forest dynamics becomes increasingly urgent, we expect that this approach will prove valuable to understanding drivers of tree growth and forest change.</w:t>
      </w:r>
    </w:p>
    <w:p>
      <w:pPr>
        <w:pStyle w:val="BodyText"/>
      </w:pPr>
      <w:r>
        <w:rPr>
          <w:bCs/>
          <w:b/>
        </w:rPr>
        <w:t xml:space="preserve">Keywords</w:t>
      </w:r>
      <w:r>
        <w:t xml:space="preserve">: climate sensitivity; tree diameter; environmental change; Forest Global Earth Observatory (ForestGEO); generalized least squares (GLS); nonlinear; tree rings</w:t>
      </w:r>
    </w:p>
    <w:p>
      <w:r>
        <w:br w:type="page"/>
      </w:r>
    </w:p>
    <w:bookmarkEnd w:id="28"/>
    <w:bookmarkStart w:id="30" w:name="Introduction"/>
    <w:p>
      <w:pPr>
        <w:pStyle w:val="Heading1"/>
      </w:pPr>
      <w:r>
        <w:t xml:space="preserve">Introduction</w:t>
      </w:r>
    </w:p>
    <w:p>
      <w:pPr>
        <w:pStyle w:val="FirstParagraph"/>
      </w:pPr>
      <w:r>
        <w:rPr>
          <w:iCs/>
          <w:i/>
        </w:rPr>
        <w:t xml:space="preserve">(keep this paragraph mostly as is):</w:t>
      </w:r>
      <w:r>
        <w:t xml:space="preserve"> </w:t>
      </w: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characterizing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m:oMath>
        <m:r>
          <m:t>A</m:t>
        </m:r>
        <m:r>
          <m:t>N</m:t>
        </m:r>
        <m:r>
          <m:t>P</m:t>
        </m:r>
        <m:sSub>
          <m:e>
            <m:r>
              <m:t>P</m:t>
            </m:r>
          </m:e>
          <m:sub>
            <m:r>
              <m:t>w</m:t>
            </m:r>
            <m:r>
              <m:t>o</m:t>
            </m:r>
            <m:r>
              <m:t>o</m:t>
            </m:r>
            <m:r>
              <m:t>d</m:t>
            </m:r>
            <m:r>
              <m:t>y</m:t>
            </m:r>
          </m:sub>
        </m:sSub>
      </m:oMath>
      <w:r>
        <w:t xml:space="preserve"> </w:t>
      </w:r>
      <w:r>
        <w:t xml:space="preserve">(Davis et al., 2009; Dye et al., 2016;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 rings to address pressing questions concerning forest productivity in the current era of rapid environmental change.</w:t>
      </w:r>
    </w:p>
    <w:p>
      <w:pPr>
        <w:pStyle w:val="BodyText"/>
      </w:pPr>
      <w:r>
        <w:rPr>
          <w:iCs/>
          <w:i/>
        </w:rPr>
        <w:t xml:space="preserve">(cut most of this paragraph?):</w:t>
      </w:r>
      <w:r>
        <w:t xml:space="preserve"> </w:t>
      </w:r>
      <w:r>
        <w:t xml:space="preserve">Dendrochronological methods to characterize the climate sensitivity of tree growth have been optimized to obtain the strongest possible climate signal for climate reconstructions, but face limitations when it comes to characterizing the long-term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an exponential curve or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growing season</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slope of the relationship among individuals within the population, as the process of building species chronologies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direct characterization of known variation in climate sensitivity in relation to tree height, canopy position, or microhabitat characteristics such as topographic wetness index</w:t>
      </w:r>
      <w:r>
        <w:t xml:space="preserve"> </w:t>
      </w:r>
      <w:r>
        <w:t xml:space="preserve">(e.g., Bennett et al., 2015; McGregor et al., 2020; Rollinson et al., 2021)</w:t>
      </w:r>
      <w:r>
        <w:t xml:space="preserve">.</w:t>
      </w:r>
    </w:p>
    <w:p>
      <w:pPr>
        <w:pStyle w:val="BodyText"/>
      </w:pPr>
      <w:r>
        <w:rPr>
          <w:iCs/>
          <w:i/>
        </w:rPr>
        <w:t xml:space="preserve">(reword to ecology focus):</w:t>
      </w:r>
      <w:r>
        <w:t xml:space="preserve"> </w:t>
      </w:r>
      <w:r>
        <w:t xml:space="preserve">Dendrochronological studies most commonly focus on linear climate responses to individual climate drivers,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of spatio-temporal scales.</w:t>
      </w:r>
      <w:r>
        <w:t xml:space="preserve"> </w:t>
      </w:r>
      <w:r>
        <w:t xml:space="preserve">Over timeframes of seconds to days, photosynthesis and respiration display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(PET) up to a point, after which it plateaus or decreases</w:t>
      </w:r>
      <w:r>
        <w:t xml:space="preserve"> </w:t>
      </w:r>
      <w:r>
        <w:t xml:space="preserve">(Banbury Morgan et al., 2021;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 rings capture tree growth responses to interannual climatic variation.</w:t>
      </w:r>
      <w:r>
        <w:t xml:space="preserve"> </w:t>
      </w:r>
      <w:r>
        <w:t xml:space="preserve">Yet, because non-linearities are problematic for reconstructing climate variables</w:t>
      </w:r>
      <w:r>
        <w:t xml:space="preserve"> </w:t>
      </w:r>
      <w:r>
        <w:t xml:space="preserve">(Esper &amp; Frank, 2009)</w:t>
      </w:r>
      <w:r>
        <w:t xml:space="preserve">, systems exhibiting these are typically avoided (e.g., by sampling at sites with characteristics that result in trees being more climate-limited), and traditional analysis methods are designed around first-order linear growth-climate relationships</w:t>
      </w:r>
      <w:r>
        <w:t xml:space="preserve"> </w:t>
      </w:r>
      <w:r>
        <w:t xml:space="preserve">(Fritts, 1976)</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w:t>
      </w:r>
      <w:r>
        <w:rPr>
          <w:bCs/>
          <w:b/>
        </w:rPr>
        <w:t xml:space="preserve">one could say these were a lot of citation for it to be uncommon. Perhaps make it more clear what aspects are less common?</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2021)</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r>
        <w:t xml:space="preserve"> </w:t>
      </w:r>
      <w:r>
        <w:rPr>
          <w:bCs/>
          <w:b/>
        </w:rPr>
        <w:t xml:space="preserve">largely because dendroclimate studies sample in such a way as to isolate one or other of moisture or temperature limitation.</w:t>
      </w:r>
    </w:p>
    <w:p>
      <w:pPr>
        <w:pStyle w:val="BodyText"/>
      </w:pPr>
      <w:r>
        <w:rPr>
          <w:iCs/>
          <w:i/>
        </w:rPr>
        <w:t xml:space="preserve">(keep mostly the same):</w:t>
      </w:r>
      <w:r>
        <w:t xml:space="preserve"> </w:t>
      </w:r>
      <w:r>
        <w:t xml:space="preserve">Tree diameter at breast height (DBH) scales predictably with numerous variables affecting tree growth rate (e.g., height, crown size and position, root mass</w:t>
      </w:r>
      <w:r>
        <w:t xml:space="preserve"> </w:t>
      </w:r>
      <w:r>
        <w:t xml:space="preserve">Enquist &amp; Niklas (2002)</w:t>
      </w:r>
      <w:r>
        <w:t xml:space="preserve">;</w:t>
      </w:r>
      <w:r>
        <w:t xml:space="preserve"> </w:t>
      </w:r>
      <w:r>
        <w:t xml:space="preserve">Niklas (2004)</w:t>
      </w:r>
      <w:r>
        <w:t xml:space="preserve">] and therefore is itself linked to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 DBH 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developing long chronologies and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Cs/>
          <w:i/>
        </w:rPr>
        <w:t xml:space="preserve">i.e.</w:t>
      </w:r>
      <w:r>
        <w:t xml:space="preserv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 ring width (RW) with DBH</w:t>
      </w:r>
      <w:r>
        <w:t xml:space="preserve"> </w:t>
      </w:r>
      <w:r>
        <w:t xml:space="preserve">(Helcoski et al., 2019)</w:t>
      </w:r>
      <w:r>
        <w:t xml:space="preserve">, they cannot be used to directly model known interactive effects of DBH 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 DBH signals via detrending makes it impossible to account for such size differences in climate sensitivity in a systematic, integrative way.</w:t>
      </w:r>
      <w:r>
        <w:t xml:space="preserve"> </w:t>
      </w:r>
      <w:r>
        <w:t xml:space="preserve">To use tree 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 DBH</w:t>
      </w:r>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rPr>
          <w:iCs/>
          <w:i/>
        </w:rPr>
        <w:t xml:space="preserve">(keep mostly the same, but shift emphasis more towards ecology):</w:t>
      </w:r>
      <w:r>
        <w:t xml:space="preserve"> </w:t>
      </w:r>
      <w:r>
        <w:t xml:space="preserve">Characterizing how tree growth and forest productivity are responding to slowly changing environmental drivers is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fine root production, reproduction, defenses, etc. – is known to decline as individual trees and forest stands age</w:t>
      </w:r>
      <w:r>
        <w:t xml:space="preserve"> </w:t>
      </w:r>
      <w:r>
        <w:t xml:space="preserve">(Goulden et al., 2011; Pregitzer &amp; Euskirchen, 2004;</w:t>
      </w:r>
      <w:r>
        <w:t xml:space="preserve"> </w:t>
      </w:r>
      <w:r>
        <w:rPr>
          <w:bCs/>
          <w:b/>
        </w:rPr>
        <w:t xml:space="preserve">meinzer_agerelated_2011?</w:t>
      </w:r>
      <w:r>
        <w:t xml:space="preserve">)</w:t>
      </w:r>
      <w:r>
        <w:t xml:space="preserve">.</w:t>
      </w:r>
      <w:r>
        <w:t xml:space="preserve"> </w:t>
      </w:r>
      <w:r>
        <w:t xml:space="preserve">However, tree size and time are almost inextricably linked (because each cored individual increases in DBH through time) and difficult to disentangle due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 DBH from time and detecting directional growth trends.</w:t>
      </w:r>
    </w:p>
    <w:p>
      <w:pPr>
        <w:pStyle w:val="BodyText"/>
      </w:pPr>
      <w:r>
        <w:t xml:space="preserve">Here, we develop and apply a new method that allows simultaneous consideration of the effects of primary climate drivers (</w:t>
      </w:r>
      <w:r>
        <w:rPr>
          <w:iCs/>
          <w:i/>
        </w:rPr>
        <w:t xml:space="preserve">i.e.</w:t>
      </w:r>
      <w:r>
        <w:t xml:space="preserve">, the most influential climate variables and the time window over which they operate), tree size, and year on annual tree growth.</w:t>
      </w:r>
      <w:r>
        <w:t xml:space="preserve"> </w:t>
      </w:r>
      <w:r>
        <w:rPr>
          <w:iCs/>
          <w:i/>
        </w:rPr>
        <w:t xml:space="preserve">This approach allows us to address hypotheses</w:t>
      </w:r>
      <w:r>
        <w:t xml:space="preserve"> </w:t>
      </w:r>
      <w:r>
        <w:t xml:space="preserve">(Table 1).</w:t>
      </w:r>
    </w:p>
    <w:p>
      <w:pPr>
        <w:pStyle w:val="BodyText"/>
      </w:pPr>
      <w:r>
        <w:rPr>
          <w:bCs/>
          <w:b/>
        </w:rPr>
        <w:t xml:space="preserve">Table 1 | (hypothesis table)</w:t>
      </w:r>
      <w:r>
        <w:t xml:space="preserve">. ….</w:t>
      </w:r>
      <w:r>
        <w:t xml:space="preserve"> </w:t>
      </w:r>
      <w:r>
        <w:drawing>
          <wp:inline>
            <wp:extent cx="5943600" cy="32862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9"/>
                    <a:stretch>
                      <a:fillRect/>
                    </a:stretch>
                  </pic:blipFill>
                  <pic:spPr bwMode="auto">
                    <a:xfrm>
                      <a:off x="0" y="0"/>
                      <a:ext cx="5943600" cy="3286276"/>
                    </a:xfrm>
                    <a:prstGeom prst="rect">
                      <a:avLst/>
                    </a:prstGeom>
                    <a:noFill/>
                    <a:ln w="9525">
                      <a:noFill/>
                      <a:headEnd/>
                      <a:tailEnd/>
                    </a:ln>
                  </pic:spPr>
                </pic:pic>
              </a:graphicData>
            </a:graphic>
          </wp:inline>
        </w:drawing>
      </w:r>
    </w:p>
    <w:bookmarkEnd w:id="30"/>
    <w:bookmarkStart w:id="38" w:name="Materials"/>
    <w:p>
      <w:pPr>
        <w:pStyle w:val="Heading1"/>
      </w:pPr>
      <w:r>
        <w:t xml:space="preserve">Materials and Methods</w:t>
      </w:r>
    </w:p>
    <w:p>
      <w:pPr>
        <w:pStyle w:val="FirstParagraph"/>
      </w:pPr>
      <w:r>
        <w:t xml:space="preserve">(</w:t>
      </w:r>
      <w:r>
        <w:rPr>
          <w:iCs/>
          <w:i/>
        </w:rPr>
        <w:t xml:space="preserve">I believe methods can stay mostly the same.</w:t>
      </w:r>
      <w:r>
        <w:t xml:space="preserve">)</w:t>
      </w:r>
    </w:p>
    <w:bookmarkStart w:id="33" w:name="Data"/>
    <w:p>
      <w:pPr>
        <w:pStyle w:val="Heading2"/>
      </w:pPr>
      <w:r>
        <w:t xml:space="preserve">Data sources and preparation</w:t>
      </w:r>
    </w:p>
    <w:p>
      <w:pPr>
        <w:pStyle w:val="FirstParagraph"/>
      </w:pPr>
      <w:r>
        <w:t xml:space="preserve">We analyzed tree-ring data, most previously collected, from 10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2,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of species represented within the ForestGEO plots were cored within the plot (n=5 sites) and/or nearby within similar forest types (n=5 sites), following a variety of sampling protocols designed to meet the varied objectives of the original studies (Tables S1, S3).</w:t>
      </w:r>
      <w:r>
        <w:t xml:space="preserve"> </w:t>
      </w:r>
      <w:r>
        <w:t xml:space="preserve">There was wide variation in the distribution of record start years, which approximate 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1"/>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w:t>
      </w:r>
      <w:r>
        <w:t xml:space="preserve"> </w:t>
      </w:r>
      <w:r>
        <w:rPr>
          <w:bCs/>
          <w:b/>
        </w:rPr>
        <w:t xml:space="preserve">(n = XXXX)</w:t>
      </w:r>
      <w:r>
        <w:t xml:space="preserve"> </w:t>
      </w:r>
      <w:r>
        <w:t xml:space="preserve">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 RW measurements, we excluded cores for which we detected errors (e.g., labeling inconsistencies, obvious dating errors) that could not be resolved before finalizing the analysis.</w:t>
      </w:r>
      <w:r>
        <w:t xml:space="preserve"> </w:t>
      </w:r>
      <w:r>
        <w:t xml:space="preserve">We also excluded records with insufficient sample size or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(RW &gt; mean plus 5 x SD of RW for the entire core),</w:t>
      </w:r>
      <w:r>
        <w:t xml:space="preserve"> </w:t>
      </w:r>
      <w:r>
        <w:t xml:space="preserve">and (4) the final 20 years prior to death of trees cored dead.</w:t>
      </w:r>
      <w:r>
        <w:t xml:space="preserve"> </w:t>
      </w:r>
      <w:r>
        <w:t xml:space="preserve">The final criterion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 DBH (see below), we further excluded</w:t>
      </w:r>
      <w:r>
        <w:t xml:space="preserve"> </w:t>
      </w:r>
      <w:r>
        <w:t xml:space="preserve">(1) trees for which we lacked data required to reconstruct DBH,</w:t>
      </w:r>
      <w:r>
        <w:t xml:space="preserve"> </w:t>
      </w:r>
      <w:r>
        <w:t xml:space="preserve">(2) trees for which there was a significant inconsistency between measured DBH and the sum of RW’s across the core (Appendix S2),</w:t>
      </w:r>
      <w:r>
        <w:t xml:space="preserve"> </w:t>
      </w:r>
      <w:r>
        <w:t xml:space="preserve">and (3) poorly represented tails of the DBH distribution, starting where reconstructed DBH (see below) was represented by &lt; 3 conspecific trees.</w:t>
      </w:r>
      <w:r>
        <w:t xml:space="preserve"> </w:t>
      </w:r>
      <w:r>
        <w:t xml:space="preserve">In total, this resulted in inclusion of 4655 cores from 3811 trees, 4513 of which (from 3705 trees) could be included in analyses with DBH (Table S3).</w:t>
      </w:r>
    </w:p>
    <w:p>
      <w:pPr>
        <w:pStyle w:val="BodyText"/>
      </w:pPr>
      <w:r>
        <w:t xml:space="preserve">For each year in the tree-ring records, we reconstructed DBH, as detailed in Appendix S2.</w:t>
      </w:r>
      <w:r>
        <w:t xml:space="preserve"> </w:t>
      </w:r>
      <w:r>
        <w:t xml:space="preserve">We used allometric equations between DBH and bark thickness to account for changes in bark thickness as the tree grew (Appendix S2; Tables S2, S4).</w:t>
      </w:r>
    </w:p>
    <w:p>
      <w:pPr>
        <w:pStyle w:val="BodyText"/>
      </w:pPr>
      <w:r>
        <w:t xml:space="preserve">Once DBH had been reconstructed, we estimated basal area (</w:t>
      </w:r>
      <m:oMath>
        <m:r>
          <m:t>B</m:t>
        </m:r>
        <m:r>
          <m:t>A</m:t>
        </m:r>
        <m:r>
          <m:rPr>
            <m:sty m:val="p"/>
          </m:rPr>
          <m:t>=</m:t>
        </m:r>
        <m:r>
          <m:t>π</m:t>
        </m:r>
        <m:sSup>
          <m:e>
            <m:r>
              <m:t>r</m:t>
            </m:r>
          </m:e>
          <m:sup>
            <m:r>
              <m:t>2</m:t>
            </m:r>
          </m:sup>
        </m:sSup>
      </m:oMath>
      <w:r>
        <w:t xml:space="preserve">, where</w:t>
      </w:r>
      <w:r>
        <w:t xml:space="preserve"> </w:t>
      </w:r>
      <m:oMath>
        <m:r>
          <m:t>r</m:t>
        </m:r>
      </m:oMath>
      <w:r>
        <w:t xml:space="preserve"> </w:t>
      </w:r>
      <w:r>
        <w:t xml:space="preserve">is radius) and aboveground biomass (AGB).</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r>
        <w:t xml:space="preserve"> </w:t>
      </w:r>
      <w:r>
        <w:t xml:space="preserve">We then calculated basal area increment (</w:t>
      </w:r>
      <m:oMath>
        <m:r>
          <m:t>B</m:t>
        </m:r>
        <m:r>
          <m:t>A</m:t>
        </m:r>
        <m:r>
          <m:t>I</m:t>
        </m:r>
        <m:r>
          <m:rPr>
            <m:sty m:val="p"/>
          </m:rPr>
          <m:t>=</m:t>
        </m:r>
        <m:r>
          <m:t>B</m:t>
        </m:r>
        <m:sSub>
          <m:e>
            <m:r>
              <m:t>A</m:t>
            </m:r>
          </m:e>
          <m:sub>
            <m:r>
              <m:t>y</m:t>
            </m:r>
            <m:r>
              <m:rPr>
                <m:sty m:val="p"/>
              </m:rPr>
              <m:t>+</m:t>
            </m:r>
            <m:r>
              <m:t>1</m:t>
            </m:r>
          </m:sub>
        </m:sSub>
        <m:r>
          <m:rPr>
            <m:sty m:val="p"/>
          </m:rPr>
          <m:t>−</m:t>
        </m:r>
        <m:r>
          <m:t>B</m:t>
        </m:r>
        <m:sSub>
          <m:e>
            <m:r>
              <m:t>A</m:t>
            </m:r>
          </m:e>
          <m:sub>
            <m:r>
              <m:t>y</m:t>
            </m:r>
          </m:sub>
        </m:sSub>
      </m:oMath>
      <w:r>
        <w:t xml:space="preserve">, where</w:t>
      </w:r>
      <w:r>
        <w:t xml:space="preserve"> </w:t>
      </w:r>
      <m:oMath>
        <m:r>
          <m:t>y</m:t>
        </m:r>
      </m:oMath>
      <w:r>
        <w:t xml:space="preserve"> </w:t>
      </w:r>
      <w:r>
        <w:t xml:space="preserve">is year) and aboveground biomass growth increments (</w:t>
      </w:r>
      <m:oMath>
        <m:r>
          <m:t>Δ</m:t>
        </m:r>
        <m:r>
          <m:t>A</m:t>
        </m:r>
        <m:r>
          <m:t>G</m:t>
        </m:r>
        <m:r>
          <m:t>B</m:t>
        </m:r>
        <m:r>
          <m:rPr>
            <m:sty m:val="p"/>
          </m:rPr>
          <m:t>=</m:t>
        </m:r>
        <m:r>
          <m:t>A</m:t>
        </m:r>
        <m:r>
          <m:t>G</m:t>
        </m:r>
        <m:sSub>
          <m:e>
            <m:r>
              <m:t>B</m:t>
            </m:r>
          </m:e>
          <m:sub>
            <m:r>
              <m:t>y</m:t>
            </m:r>
            <m:r>
              <m:rPr>
                <m:sty m:val="p"/>
              </m:rPr>
              <m:t>+</m:t>
            </m:r>
            <m:r>
              <m:t>1</m:t>
            </m:r>
          </m:sub>
        </m:sSub>
        <m:r>
          <m:rPr>
            <m:sty m:val="p"/>
          </m:rPr>
          <m:t>−</m:t>
        </m:r>
        <m:r>
          <m:t>A</m:t>
        </m:r>
        <m:r>
          <m:t>G</m:t>
        </m:r>
        <m:sSub>
          <m:e>
            <m:r>
              <m:t>B</m:t>
            </m:r>
          </m:e>
          <m:sub>
            <m:r>
              <m:t>y</m:t>
            </m:r>
          </m:sub>
        </m:sSub>
      </m:oMath>
      <w:r>
        <w:t xml:space="preserve">].</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(PPT); and, when deemed reliable (Appendix S3), potential evapotranspiration (PET) and precipitation day frequency (PDF).</w:t>
      </w:r>
      <w:r>
        <w:t xml:space="preserve"> </w:t>
      </w:r>
      <w:r>
        <w:t xml:space="preserve">For the one riparian site, NIO, we tested for an effect of stream flow (SF),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2">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3"/>
    <w:bookmarkStart w:id="37" w:name="Analysis"/>
    <w:p>
      <w:pPr>
        <w:pStyle w:val="Heading2"/>
      </w:pPr>
      <w:r>
        <w:t xml:space="preserve">Analysis methods</w:t>
      </w:r>
    </w:p>
    <w:p>
      <w:pPr>
        <w:pStyle w:val="FirstParagraph"/>
      </w:pPr>
      <w:r>
        <w:t xml:space="preserve">Our analysis consisted of two main steps: (1) identification of the primary climate drivers , and (2) combining these climate drivers, DBH, and year into a multivariate model (Fig. 1).</w:t>
      </w:r>
      <w:r>
        <w:t xml:space="preserve"> </w:t>
      </w:r>
      <w:r>
        <w:t xml:space="preserve">The analysis was run separately for each site (step 1), site-species combination (step 2), and each response variable (RW, BAI, or</w:t>
      </w:r>
      <w:r>
        <w:t xml:space="preserve"> </w:t>
      </w:r>
      <m:oMath>
        <m:r>
          <m:t>Δ</m:t>
        </m:r>
      </m:oMath>
      <w:r>
        <w:t xml:space="preserve">AGB).</w:t>
      </w:r>
      <w:r>
        <w:t xml:space="preserve"> </w:t>
      </w:r>
      <w:r>
        <w:t xml:space="preserve">We note that the decision to identify primary climate drivers at the level of site, as opposed to species, was motivated by the expectation that differences in optimal climate windows across species in one site would be minimal compared to cross-site differences (Fig. 2); however, analyses focused on interspecific differences could optimize species-specific climate sensitivity estimates by fitting</w:t>
      </w:r>
      <w:r>
        <w:t xml:space="preserve"> </w:t>
      </w:r>
      <w:r>
        <w:rPr>
          <w:iCs/>
          <w:i/>
        </w:rPr>
        <w:t xml:space="preserve">climwin</w:t>
      </w:r>
      <w:r>
        <w:t xml:space="preserve"> </w:t>
      </w:r>
      <w:r>
        <w:t xml:space="preserve">individually by species.</w:t>
      </w:r>
    </w:p>
    <w:p>
      <w:pPr>
        <w:pStyle w:val="CaptionedFigure"/>
      </w:pPr>
      <w:r>
        <w:drawing>
          <wp:inline>
            <wp:extent cx="5943600" cy="6655214"/>
            <wp:effectExtent b="0" l="0" r="0" t="0"/>
            <wp:docPr descr="Figure 1 | Schematic illustrating our analysis process. In step 1, the R package climwin (van de Pol et al., 2016) 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4"/>
                    <a:stretch>
                      <a:fillRect/>
                    </a:stretch>
                  </pic:blipFill>
                  <pic:spPr bwMode="auto">
                    <a:xfrm>
                      <a:off x="0" y="0"/>
                      <a:ext cx="5943600" cy="6655214"/>
                    </a:xfrm>
                    <a:prstGeom prst="rect">
                      <a:avLst/>
                    </a:prstGeom>
                    <a:noFill/>
                    <a:ln w="9525">
                      <a:noFill/>
                      <a:headEnd/>
                      <a:tailEnd/>
                    </a:ln>
                  </pic:spPr>
                </pic:pic>
              </a:graphicData>
            </a:graphic>
          </wp:inline>
        </w:drawing>
      </w:r>
    </w:p>
    <w:p>
      <w:pPr>
        <w:pStyle w:val="ImageCaption"/>
      </w:pPr>
      <w:r>
        <w:rPr>
          <w:bCs/>
          <w:b/>
        </w:rPr>
        <w:t xml:space="preserve">Figure 1 | Schematic illustrating our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w:t>
      </w:r>
    </w:p>
    <w:bookmarkStart w:id="35" w:name="Climate"/>
    <w:p>
      <w:pPr>
        <w:pStyle w:val="Heading3"/>
      </w:pPr>
      <w:r>
        <w:t xml:space="preserve">Identifying primary climate drivers (step 1)</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variable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 PET) and a precipitation group (PPT, PDF).</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fitting penalized thin-plate regression splines in generalized additive models</w:t>
      </w:r>
      <w:r>
        <w:t xml:space="preserve"> </w:t>
      </w:r>
      <w:r>
        <w:t xml:space="preserve">(GAM, function</w:t>
      </w:r>
      <w:r>
        <w:t xml:space="preserve"> </w:t>
      </w:r>
      <w:r>
        <w:rPr>
          <w:iCs/>
          <w:i/>
        </w:rPr>
        <w:t xml:space="preserve">gam</w:t>
      </w:r>
      <w:r>
        <w:t xml:space="preserve"> </w:t>
      </w:r>
      <w:r>
        <w:t xml:space="preserve">and</w:t>
      </w:r>
      <w:r>
        <w:t xml:space="preserve"> </w:t>
      </w:r>
      <w:r>
        <w:rPr>
          <w:iCs/>
          <w:i/>
        </w:rPr>
        <w:t xml:space="preserve">s</w:t>
      </w:r>
      <w:r>
        <w:t xml:space="preserve"> </w:t>
      </w:r>
      <w:r>
        <w:t xml:space="preserve">in R Package</w:t>
      </w:r>
      <w:r>
        <w:t xml:space="preserve"> </w:t>
      </w:r>
      <w:r>
        <w:rPr>
          <w:iCs/>
          <w:i/>
        </w:rPr>
        <w:t xml:space="preserve">mgcv</w:t>
      </w:r>
      <w:r>
        <w:t xml:space="preserve">, Wood, 2011)</w:t>
      </w:r>
      <w:r>
        <w:t xml:space="preserve"> </w:t>
      </w:r>
      <w:r>
        <w:t xml:space="preserve">to individual growth records (RW, BAI, or</w:t>
      </w:r>
      <w:r>
        <w:t xml:space="preserve"> </w:t>
      </w:r>
      <m:oMath>
        <m:r>
          <m:t>Δ</m:t>
        </m:r>
        <m:r>
          <m:t>A</m:t>
        </m:r>
        <m:r>
          <m:t>G</m:t>
        </m:r>
        <m:r>
          <m:t>B</m:t>
        </m:r>
      </m:oMath>
      <w:r>
        <w:t xml:space="preserve">) from each core, thereby producing residuals.</w:t>
      </w:r>
      <w:r>
        <w:t xml:space="preserve"> </w:t>
      </w:r>
      <w:r>
        <w:t xml:space="preserve">The smoothing parameters were automaticaly selected by the</w:t>
      </w:r>
      <w:r>
        <w:t xml:space="preserve"> </w:t>
      </w:r>
      <w:r>
        <w:rPr>
          <w:iCs/>
          <w:i/>
        </w:rPr>
        <w:t xml:space="preserve">gam</w:t>
      </w:r>
      <w:r>
        <w:t xml:space="preserve"> </w:t>
      </w:r>
      <w:r>
        <w:t xml:space="preserve">function by generalized cross-validation (GCV).</w:t>
      </w:r>
      <w:r>
        <w:t xml:space="preserve"> </w:t>
      </w:r>
      <w:r>
        <w:t xml:space="preserve">We then used</w:t>
      </w:r>
      <w:r>
        <w:t xml:space="preserve"> </w:t>
      </w:r>
      <w:r>
        <w:rPr>
          <w:iCs/>
          <w:i/>
        </w:rPr>
        <w:t xml:space="preserve">climwin</w:t>
      </w:r>
      <w:r>
        <w:t xml:space="preserve"> </w:t>
      </w:r>
      <w:r>
        <w:t xml:space="preserve">to identify the climate variables most strongly correlated to the residuals of RW, BAI,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climate variables within each group (water or temperature), analyzed over one of all possible combinations of consecutive months over a 15-month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to what would be identified using traditional methods for four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5"/>
    <w:bookmarkStart w:id="36" w:name="Combining"/>
    <w:p>
      <w:pPr>
        <w:pStyle w:val="Heading3"/>
      </w:pPr>
      <w:r>
        <w:t xml:space="preserve">Combining drivers in GLS model (step 2)</w:t>
      </w:r>
    </w:p>
    <w:p>
      <w:pPr>
        <w:pStyle w:val="FirstParagraph"/>
      </w:pPr>
      <w:r>
        <w:t xml:space="preserve">Having identified the primary climate drivers in temperature and precipitation variable groups, we next combined climate variables (all models) and DBH (models with DBH and its climate interactions) into linear mixed-effects models (function</w:t>
      </w:r>
      <w:r>
        <w:t xml:space="preserve"> </w:t>
      </w:r>
      <w:r>
        <w:rPr>
          <w:iCs/>
          <w:i/>
        </w:rPr>
        <w:t xml:space="preserve">lme</w:t>
      </w:r>
      <w:r>
        <w:t xml:space="preserve"> </w:t>
      </w:r>
      <w:r>
        <w:t xml:space="preserve">in R package</w:t>
      </w:r>
      <w:r>
        <w:t xml:space="preserve"> </w:t>
      </w:r>
      <w:r>
        <w:rPr>
          <w:iCs/>
          <w:i/>
        </w:rPr>
        <w:t xml:space="preserve">nlme</w:t>
      </w:r>
      <w:r>
        <w:t xml:space="preserve">), with core identity as a random intercept and yeaar as a continuous time covariate for the within-group correlation structure (function</w:t>
      </w:r>
      <w:r>
        <w:t xml:space="preserve"> </w:t>
      </w:r>
      <w:r>
        <w:rPr>
          <w:iCs/>
          <w:i/>
        </w:rPr>
        <w:t xml:space="preserve">corCAR1</w:t>
      </w:r>
      <w:r>
        <w:t xml:space="preserve">). We will refer to this model as a generalized least squares (GLS) model (Fig. 1).</w:t>
      </w:r>
    </w:p>
    <w:p>
      <w:pPr>
        <w:pStyle w:val="BodyText"/>
      </w:pPr>
      <w:r>
        <w:t xml:space="preserve">Before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rPr>
            <m:sty m:val="p"/>
          </m:rPr>
          <m:t>[</m:t>
        </m:r>
        <m:r>
          <m:t>Δ</m:t>
        </m:r>
        <m:r>
          <m:t>R</m:t>
        </m:r>
        <m:r>
          <m:t>W</m:t>
        </m:r>
        <m:r>
          <m:rPr>
            <m:sty m:val="p"/>
          </m:rPr>
          <m:t>]</m:t>
        </m:r>
      </m:oMath>
      <w:r>
        <w:t xml:space="preserve">,</w:t>
      </w:r>
      <w:r>
        <w:t xml:space="preserve"> </w:t>
      </w:r>
      <m:oMath>
        <m:r>
          <m:t>l</m:t>
        </m:r>
        <m:r>
          <m:t>o</m:t>
        </m:r>
        <m:r>
          <m:t>g</m:t>
        </m:r>
        <m:r>
          <m:rPr>
            <m:sty m:val="p"/>
          </m:rPr>
          <m:t>[</m:t>
        </m:r>
        <m:r>
          <m:t>B</m:t>
        </m:r>
        <m:r>
          <m:t>A</m:t>
        </m:r>
        <m:r>
          <m:t>I</m:t>
        </m:r>
        <m:r>
          <m:rPr>
            <m:sty m:val="p"/>
          </m:rPr>
          <m:t>]</m:t>
        </m:r>
      </m:oMath>
      <w:r>
        <w:t xml:space="preserve">, or</w:t>
      </w:r>
      <w:r>
        <w:t xml:space="preserve"> </w:t>
      </w:r>
      <m:oMath>
        <m:r>
          <m:t>l</m:t>
        </m:r>
        <m:r>
          <m:t>o</m:t>
        </m:r>
        <m:r>
          <m:t>g</m:t>
        </m:r>
        <m:r>
          <m:rPr>
            <m:sty m:val="p"/>
          </m:rPr>
          <m:t>[</m:t>
        </m:r>
        <m:r>
          <m:t>Δ</m:t>
        </m:r>
        <m:r>
          <m:t>A</m:t>
        </m:r>
        <m:r>
          <m:t>G</m:t>
        </m:r>
        <m:r>
          <m:t>B</m:t>
        </m:r>
        <m:r>
          <m:rPr>
            <m:sty m:val="p"/>
          </m:rPr>
          <m:t>]</m:t>
        </m:r>
      </m:oMath>
      <w:r>
        <w:t xml:space="preserve">.</w:t>
      </w:r>
    </w:p>
    <w:p>
      <w:pPr>
        <w:pStyle w:val="BodyText"/>
      </w:pPr>
      <w:r>
        <w:t xml:space="preserve">For each species independently, we ran every combination of the candidate climate variables and DBH, including both first- and second-order terms of polynomial for each.</w:t>
      </w:r>
      <w:r>
        <w:t xml:space="preserve"> </w:t>
      </w:r>
      <w:r>
        <w:t xml:space="preserve">For climate response, we allowed concave-down fits, but ignored any concave-up fits on the basis that these are not expected biologically and, when identified in initial analyses, often appeared to be cases of over-fitting.</w:t>
      </w:r>
    </w:p>
    <w:p>
      <w:pPr>
        <w:pStyle w:val="BodyText"/>
      </w:pPr>
      <w:r>
        <w:t xml:space="preserve">As an example, a full model for log[RW] would look like this in</w:t>
      </w:r>
      <w:r>
        <w:t xml:space="preserve"> </w:t>
      </w:r>
      <w:r>
        <w:rPr>
          <w:iCs/>
          <w:i/>
        </w:rPr>
        <w:t xml:space="preserve">R</w:t>
      </w:r>
      <w:r>
        <w:t xml:space="preserve">:</w:t>
      </w:r>
    </w:p>
    <w:p>
      <w:pPr>
        <w:pStyle w:val="BodyText"/>
      </w:pPr>
      <w:r>
        <w:rPr>
          <w:iCs/>
          <w:i/>
        </w:rPr>
        <w:t xml:space="preserve">lme(log[RW] ~ PET + I(PET^2)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 DBH + I(DBH^2)</w:t>
      </w:r>
      <w:r>
        <w:rPr>
          <w:iCs/>
          <w:i/>
        </w:rPr>
        <w:t xml:space="preserve">“</w:t>
      </w:r>
      <w:r>
        <w:rPr>
          <w:iCs/>
          <w:i/>
        </w:rPr>
        <w:t xml:space="preserve">, random = ~1|coreID, correlation = corCAR1(form=~yeaar|coreID), data = x,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m:oMath>
        <m:r>
          <m:t>x</m:t>
        </m:r>
      </m:oMath>
      <w:r>
        <w:t xml:space="preserve"> </w:t>
      </w:r>
      <w:r>
        <w:t xml:space="preserve">is a complete data set (with no missing value)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 DBH, we tested for interactions between first-order linear terms for climate variables and DBH.</w:t>
      </w:r>
    </w:p>
    <w:p>
      <w:pPr>
        <w:pStyle w:val="BodyText"/>
      </w:pPr>
      <w:r>
        <w:t xml:space="preserve">To test for yeaar effects, we limited the analysis to species with reasonable coverage of the DBH 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 DBH range for</w:t>
      </w:r>
      <w:r>
        <w:t xml:space="preserve"> </w:t>
      </w:r>
      <m:oMath>
        <m:r>
          <m:rPr>
            <m:sty m:val="p"/>
          </m:rPr>
          <m:t>≥</m:t>
        </m:r>
        <m:r>
          <m:t>2</m:t>
        </m:r>
        <m:r>
          <m:rPr>
            <m:sty m:val="p"/>
          </m:rP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 DBH 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 year.</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 yeaar were real, as opposed to an artifact of inherent covariation between DBH and yeaar within each core, we compared GLS results to an analysis of DBH-growth relationships by decade (Figs. S58-S67).</w:t>
      </w:r>
      <w:r>
        <w:t xml:space="preserve"> </w:t>
      </w:r>
      <w:r>
        <w:t xml:space="preserve">For simplicity and consistency with previous literature, we present only the models with BAI as the growth metric, noting that responses were similar across growth metrics.</w:t>
      </w:r>
    </w:p>
    <w:p>
      <w:pPr>
        <w:pStyle w:val="BodyText"/>
      </w:pPr>
      <w:r>
        <w:t xml:space="preserve">Within each of three categories of models run (climate only, climate + DBH, climate</w:t>
      </w:r>
      <w:r>
        <w:t xml:space="preserve"> </w:t>
      </w:r>
      <m:oMath>
        <m:r>
          <m:rPr>
            <m:sty m:val="p"/>
          </m:rPr>
          <m:t>×</m:t>
        </m:r>
        <m:r>
          <m:t>D</m:t>
        </m:r>
        <m:r>
          <m:t>B</m:t>
        </m:r>
        <m:r>
          <m:t>H</m:t>
        </m:r>
      </m:oMath>
      <w:r>
        <w:t xml:space="preserve">, climate + DBH + yeaar), we selected as the top model that with the lowest AIC.</w:t>
      </w:r>
    </w:p>
    <w:bookmarkEnd w:id="36"/>
    <w:bookmarkEnd w:id="37"/>
    <w:bookmarkEnd w:id="38"/>
    <w:bookmarkStart w:id="49" w:name="Results"/>
    <w:p>
      <w:pPr>
        <w:pStyle w:val="Heading1"/>
      </w:pPr>
      <w:r>
        <w:t xml:space="preserve">Results</w:t>
      </w:r>
    </w:p>
    <w:bookmarkStart w:id="40" w:name="Validation"/>
    <w:p>
      <w:pPr>
        <w:pStyle w:val="Heading2"/>
      </w:pPr>
      <w:r>
        <w:t xml:space="preserve">Validation of the method</w:t>
      </w:r>
    </w:p>
    <w:p>
      <w:pPr>
        <w:pStyle w:val="FirstParagraph"/>
      </w:pPr>
      <w:r>
        <w:t xml:space="preserve">Our process identified similar primary climate drivers to those identified via established dendrochronological analysis methods for identifying climate signals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(PET).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w:t>
      </w:r>
    </w:p>
    <w:p>
      <w:pPr>
        <w:pStyle w:val="BodyText"/>
      </w:pPr>
      <w:r>
        <w:rPr>
          <w:iCs/>
          <w:i/>
        </w:rPr>
        <w:t xml:space="preserve">Trends with year, when assessed, were consistent with those observed in a separate analysis of DBH-growth relationships by year (Figs. S58-S67).</w:t>
      </w:r>
    </w:p>
    <w:bookmarkEnd w:id="40"/>
    <w:bookmarkStart w:id="44" w:name="Climate"/>
    <w:p>
      <w:pPr>
        <w:pStyle w:val="Heading2"/>
      </w:pPr>
      <w:r>
        <w:t xml:space="preserve">Climate sensitivity</w:t>
      </w:r>
    </w:p>
    <w:p>
      <w:pPr>
        <w:pStyle w:val="FirstParagraph"/>
      </w:pPr>
      <w:r>
        <w:t xml:space="preserve">The three metrics of growth (RW, BAI,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Cs/>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w:t>
      </w:r>
      <w:r>
        <w:t xml:space="preserve"> </w:t>
      </w:r>
      <w:r>
        <w:rPr>
          <w:iCs/>
          <w:i/>
        </w:rPr>
        <w:t xml:space="preserve">climwin</w:t>
      </w:r>
      <w:r>
        <w:t xml:space="preserve"> </w:t>
      </w:r>
      <w:r>
        <w:t xml:space="preserve">identified different climate variables and different time windows (Figs. S18, S24).</w:t>
      </w:r>
      <w:r>
        <w:t xml:space="preserve"> </w:t>
      </w:r>
      <w:r>
        <w:t xml:space="preserve">Henceforth, unless otherwise noted, we focus on the climate sensitivities identified with RW as the growth metric and for the full set of cores (</w:t>
      </w:r>
      <w:r>
        <w:rPr>
          <w:iCs/>
          <w:i/>
        </w:rPr>
        <w:t xml:space="preserve">i.e.</w:t>
      </w:r>
      <w:r>
        <w:t xml:space="preserve">, including those for which DBH 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 RW to climwin-selected variables in precipitation and temperature variable groups.</w:t>
      </w:r>
      <w:r>
        <w:t xml:space="preserve"> </w:t>
      </w:r>
      <w:r>
        <w:rPr>
          <w:iCs/>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(PPT) and frequency (PDF) were included in the best model for all but two species, and were predominantly positive (Fig. 3).</w:t>
      </w:r>
      <w:r>
        <w:t xml:space="preserve"> </w:t>
      </w:r>
      <w:r>
        <w:t xml:space="preserve">PPT was selected over PDF 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months of active growth in the current year (Fig. 3; Table S1): year-round in the tropics (BCNM and HKK) or late spring/ summer in the extratropics (n= 5 of 8).</w:t>
      </w:r>
      <w:r>
        <w:t xml:space="preserve"> </w:t>
      </w:r>
      <w:r>
        <w:t xml:space="preserve">In the tropics, the long time-windows over which precipitation was influential (12 mo at BCNM, 9 mo at HKK) also included the majority (BCNM) or all (HKK) of the dry season.</w:t>
      </w:r>
      <w:r>
        <w:t xml:space="preserve"> </w:t>
      </w:r>
      <w:r>
        <w:t xml:space="preserve">In the extratropics, optimal windows at three sites included the current growing season and extended back to the previous fall (LT, CB) or summer (SCBI), whereas they were limited to the current spring and early summer at LDW.</w:t>
      </w:r>
      <w:r>
        <w:t xml:space="preserve"> </w:t>
      </w:r>
      <w:r>
        <w:t xml:space="preserve">At three sites (HF, ZOF, and SC), precipitation of the previous growing season was the most influential variable.</w:t>
      </w:r>
      <w:r>
        <w:t xml:space="preserve"> </w:t>
      </w:r>
      <w:r>
        <w:t xml:space="preserve">Responses to PPT or PDF 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w:t>
      </w:r>
      <w:r>
        <w:t xml:space="preserve"> </w:t>
      </w:r>
      <w:r>
        <w:rPr>
          <w:iCs/>
          <w:i/>
        </w:rPr>
        <w:t xml:space="preserve">Betula alleghaniensis</w:t>
      </w:r>
      <w:r>
        <w:t xml:space="preserve"> </w:t>
      </w:r>
      <w:r>
        <w:t xml:space="preserve">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 PET, which were identified by</w:t>
      </w:r>
      <w:r>
        <w:t xml:space="preserve"> </w:t>
      </w:r>
      <w:r>
        <w:rPr>
          <w:iCs/>
          <w:i/>
        </w:rPr>
        <w:t xml:space="preserve">climwin</w:t>
      </w:r>
      <w:r>
        <w:t xml:space="preserve"> </w:t>
      </w:r>
      <w:r>
        <w:t xml:space="preserve">as the top temperature-related driver at five and three of the 10 sites, respectively, noting that PET 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current growing season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Cs/>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 PET for</w:t>
      </w:r>
      <w:r>
        <w:t xml:space="preserve"> </w:t>
      </w:r>
      <w:r>
        <w:rPr>
          <w:iCs/>
          <w:i/>
        </w:rPr>
        <w:t xml:space="preserve">Tsuga canadensis</w:t>
      </w:r>
      <w:r>
        <w:t xml:space="preserve"> </w:t>
      </w:r>
      <w:r>
        <w:t xml:space="preserve">at HF, the latter contrasting with a negative response of the three deciduous species analyzed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Start w:id="43" w:name="Variation"/>
    <w:p>
      <w:pPr>
        <w:pStyle w:val="Heading3"/>
      </w:pPr>
      <w:r>
        <w:t xml:space="preserve">Variation in climate sensitivity with DBH</w:t>
      </w:r>
    </w:p>
    <w:p>
      <w:pPr>
        <w:pStyle w:val="FirstParagraph"/>
      </w:pPr>
      <w:r>
        <w:t xml:space="preserve">Interactive effects of climate and DBH were found for 90 of the 203 (44%) species-variable combinations for which they were tested.</w:t>
      </w:r>
      <w:r>
        <w:t xml:space="preserve"> </w:t>
      </w:r>
      <w:r>
        <w:t xml:space="preserve">For precipitation variables, interactions were significant for 16 of the 36 (44%) interactions with RW as the growth metric (Fig. S56) and for 17 of the 36 (47%) with BAI as the growth metric (Fig. S57).</w:t>
      </w:r>
      <w:r>
        <w:t xml:space="preserve"> </w:t>
      </w:r>
      <w:r>
        <w:t xml:space="preserve">The majority of these interactions were positive (75% for RW; 65% for BAI), indicating that larger trees generally respond more positively to precipitation or its frequency (Fig. 4).</w:t>
      </w:r>
      <w:r>
        <w:t xml:space="preserve"> </w:t>
      </w:r>
      <w:r>
        <w:t xml:space="preserve">Among the exceptions to this pattern (n=4 for RW, 6 for BAI), only a minority (n=1 for RW, 4 for BAI)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 RW as the growth metric (Fig. S56) and for 50% with BAI as the growth metric (Fig. S57).</w:t>
      </w:r>
      <w:r>
        <w:t xml:space="preserve"> </w:t>
      </w:r>
      <w:r>
        <w:t xml:space="preserve">Directions of these interactions were mixed, with 5 of 12 significant interactions negative with RW as the growth metric and 10 of 16 significant interactions negative when BAI was the growth metric.</w:t>
      </w:r>
      <w:r>
        <w:t xml:space="preserve"> </w:t>
      </w:r>
      <w:r>
        <w:t xml:space="preserve">For both RW and BAI, the majority of significant negative interactions (</w:t>
      </w:r>
      <w:r>
        <w:rPr>
          <w:iCs/>
          <w:i/>
        </w:rPr>
        <w:t xml:space="preserve">i.e.</w:t>
      </w:r>
      <w:r>
        <w:t xml:space="preserve">, more negative/ less positive response of larger trees to higher temperatures) occurred in cases where the main effect temperature was negative (e.g., HKK, LT, CB; Fig. 4), whereas positive interactions were more common when the main effect of temperature was positive (e.g., HF, ZOF).</w:t>
      </w:r>
    </w:p>
    <w:p>
      <w:pPr>
        <w:pStyle w:val="CaptionedFigure"/>
      </w:pPr>
      <w:r>
        <w:drawing>
          <wp:inline>
            <wp:extent cx="5943600" cy="5943600"/>
            <wp:effectExtent b="0" l="0" r="0" t="0"/>
            <wp:docPr descr="Figure 4 | Examples of climate - DBH interactions for three species at three sites. 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Examples of climate - DBH interactions for three species at three sites.</w:t>
      </w:r>
      <w:r>
        <w:t xml:space="preserve"> </w:t>
      </w:r>
      <w:r>
        <w:t xml:space="preserve">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w:t>
      </w:r>
    </w:p>
    <w:bookmarkEnd w:id="43"/>
    <w:bookmarkEnd w:id="44"/>
    <w:bookmarkStart w:id="46" w:name="Variation"/>
    <w:p>
      <w:pPr>
        <w:pStyle w:val="Heading2"/>
      </w:pPr>
      <w:r>
        <w:t xml:space="preserve">Variation with DBH</w:t>
      </w:r>
    </w:p>
    <w:p>
      <w:pPr>
        <w:pStyle w:val="FirstParagraph"/>
      </w:pPr>
      <w:r>
        <w:t xml:space="preserve">When a precipitation variable, a temperature variable, and DBH 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 DBH 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In general, DBH explained more variation in growth rates than did climate, but its relative importance varied across growth metrics and sites (Figs. S35-S54).</w:t>
      </w:r>
      <w:r>
        <w:t xml:space="preserve"> </w:t>
      </w:r>
      <w:r>
        <w:t xml:space="preserve">The relative importance of DBH tended to be least for RW, intermediate for BAI, and highest for</w:t>
      </w:r>
      <w:r>
        <w:t xml:space="preserve"> </w:t>
      </w:r>
      <m:oMath>
        <m:r>
          <m:t>Δ</m:t>
        </m:r>
        <m:r>
          <m:t>A</m:t>
        </m:r>
        <m:r>
          <m:t>G</m:t>
        </m:r>
        <m:r>
          <m:t>B</m:t>
        </m:r>
      </m:oMath>
      <w:r>
        <w:t xml:space="preserve"> </w:t>
      </w:r>
      <w:r>
        <w:t xml:space="preserve">(e.g., at SCBI; Fig. S39).</w:t>
      </w:r>
      <w:r>
        <w:t xml:space="preserve"> </w:t>
      </w:r>
      <w:r>
        <w:t xml:space="preserve">However, there were exceptions, particularly when RW decreased steeply with DBH (e.g., LT; Fig. S49).</w:t>
      </w:r>
    </w:p>
    <w:p>
      <w:pPr>
        <w:pStyle w:val="BodyText"/>
      </w:pPr>
      <w:r>
        <w:t xml:space="preserve">All three growth metrics, RW, BAI, and</w:t>
      </w:r>
      <w:r>
        <w:t xml:space="preserve"> </w:t>
      </w:r>
      <m:oMath>
        <m:r>
          <m:t>Δ</m:t>
        </m:r>
        <m:r>
          <m:t>A</m:t>
        </m:r>
        <m:r>
          <m:t>G</m:t>
        </m:r>
        <m:r>
          <m:t>B</m:t>
        </m:r>
      </m:oMath>
      <w:r>
        <w:t xml:space="preserve">, varied with DBH for most species at all sites (Fig. 5).</w:t>
      </w:r>
      <w:r>
        <w:t xml:space="preserve"> </w:t>
      </w:r>
      <w:r>
        <w:t xml:space="preserve">For RW, DBH was included in the best model for 81% of species-site combinations (n= 35 of 43), and the majority of best models also included a significant second-order linear DBH term (n= 26, 21 of which were negative).</w:t>
      </w:r>
      <w:r>
        <w:t xml:space="preserve"> </w:t>
      </w:r>
      <w:r>
        <w:t xml:space="preserve">There was substantial variation in these trends, with patterns mixed across both forests and species within a single stand (Fig. 5).</w:t>
      </w:r>
      <w:r>
        <w:t xml:space="preserve"> </w:t>
      </w:r>
      <w:r>
        <w:t xml:space="preserve">On one end of the spectrum, some species exhibited maximum RW at low DBH, followed by fairly rapid declines in RW with increasing DBH.</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and/or grew in relatively open stands (e.g., both species at LT,</w:t>
      </w:r>
      <w:r>
        <w:t xml:space="preserve"> </w:t>
      </w:r>
      <w:r>
        <w:rPr>
          <w:iCs/>
          <w:i/>
        </w:rPr>
        <w:t xml:space="preserve">Picea mariana</w:t>
      </w:r>
      <w:r>
        <w:t xml:space="preserve"> </w:t>
      </w:r>
      <w:r>
        <w:t xml:space="preserve">at SC; Fig. 5).</w:t>
      </w:r>
      <w:r>
        <w:t xml:space="preserve"> </w:t>
      </w:r>
      <w:r>
        <w:t xml:space="preserve">At the other end of the spectrum, some species had low RW at small DBH, increased to peak RW at intermediate DBH,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Žofín,</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Žofín and CB; Table S2).</w:t>
      </w:r>
    </w:p>
    <w:p>
      <w:pPr>
        <w:pStyle w:val="BodyText"/>
      </w:pPr>
      <w:r>
        <w:t xml:space="preserve">Trends in both BAI and</w:t>
      </w:r>
      <w:r>
        <w:t xml:space="preserve"> </w:t>
      </w:r>
      <m:oMath>
        <m:r>
          <m:t>Δ</m:t>
        </m:r>
        <m:r>
          <m:t>A</m:t>
        </m:r>
        <m:r>
          <m:t>G</m:t>
        </m:r>
        <m:r>
          <m:t>B</m:t>
        </m:r>
      </m:oMath>
      <w:r>
        <w:t xml:space="preserve"> </w:t>
      </w:r>
      <w:r>
        <w:t xml:space="preserve">were far more consistent across sites and species, most commonly increasing to a peak at intermediate DBH and then declining (Fig. 5).</w:t>
      </w:r>
      <w:r>
        <w:t xml:space="preserve"> </w:t>
      </w:r>
      <w:r>
        <w:t xml:space="preserve">Best models for BAI included DBH 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 DBH 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 DBHs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 DBH 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5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Growth sensitivity to DBH: (a) RW, (b) BAI, (c)</w:t>
      </w:r>
      <w:r>
        <w:rPr>
          <w:bCs/>
          <w:b/>
        </w:rPr>
        <w:t xml:space="preserve"> </w:t>
      </w:r>
      <m:oMath>
        <m:r>
          <m:t>Δ</m:t>
        </m:r>
        <m:r>
          <m:t>A</m:t>
        </m:r>
        <m:r>
          <m:t>G</m:t>
        </m:r>
        <m:r>
          <m:t>B</m:t>
        </m:r>
      </m:oMath>
      <w:r>
        <w:rPr>
          <w:bCs/>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6"/>
    <w:bookmarkStart w:id="48"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species-site combinations tested (Figs. 6, S35-S54).</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 DBH interacted such that inclusion of year in in models altered the shape of DBH responses, typically resulting in less pronounced growth declines with increasing DBH (Figs.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8"/>
    <w:bookmarkEnd w:id="49"/>
    <w:bookmarkStart w:id="54" w:name="Discussion"/>
    <w:p>
      <w:pPr>
        <w:pStyle w:val="Heading1"/>
      </w:pPr>
      <w:r>
        <w:t xml:space="preserve">Discussion</w:t>
      </w:r>
    </w:p>
    <w:p>
      <w:pPr>
        <w:pStyle w:val="FirstParagraph"/>
      </w:pPr>
      <w:r>
        <w:t xml:space="preserve">Our new tree-ring analysis method allows simultaneous consideration of the effects of primary climate drivers, tree size, and slowly changing environmental conditions on annual growth (Fig. 1), yielding results that are consistent with those that would be obtained using conventional methods (Figs. 2, S11-S14; Table S5) while offering a more complete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50" w:name="Climate"/>
    <w:p>
      <w:pPr>
        <w:pStyle w:val="Heading2"/>
      </w:pPr>
      <w:r>
        <w:t xml:space="preserve">Climate sensitivity</w:t>
      </w:r>
    </w:p>
    <w:p>
      <w:pPr>
        <w:pStyle w:val="FirstParagraph"/>
      </w:pPr>
      <w:r>
        <w:t xml:space="preserve">Across diverse climates and forest types (Tables 2, S2), growth rates of 40 tree species generally responded positively to water availability (PPT or PDF)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 PET),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of our species at HF (Fig. 3).</w:t>
      </w:r>
      <w:r>
        <w:t xml:space="preserve"> </w:t>
      </w:r>
      <w:r>
        <w:t xml:space="preserve">However, the predominantly negative temperature responses (Fig. 3) imply that in most forests, tree growth is likely to be reduced by warming temperatures.</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primary climate drivers (step 1; Fig. 1), we consider the full sample of individual trees, as opposed to a chronology in which variance has been standardized and the individual cores have been averaged.</w:t>
      </w:r>
      <w:r>
        <w:t xml:space="preserve"> </w:t>
      </w:r>
      <w:r>
        <w:t xml:space="preserve">Some differences in variables identified and the slope between growth and climate are to be expected given the methodological differences (Appendix S4); however, as a whole the identified drivers and directions of response are consistent with conventional methods (Figs. 2, S11-S14; Table S5).</w:t>
      </w:r>
      <w:r>
        <w:t xml:space="preserve"> </w:t>
      </w:r>
      <w:r>
        <w:rPr>
          <w:strike/>
        </w:rPr>
        <w:t xml:space="preserve">Another way in which the current analysis differed from conventional methods is that we pooled species by site when determining the primary climate drivers (step 1; Fig. 1).</w:t>
      </w:r>
      <w:r>
        <w:t xml:space="preserve"> </w:t>
      </w:r>
      <w:r>
        <w:rPr>
          <w:strike/>
        </w:rP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rPr>
          <w:strike/>
        </w:rPr>
        <w:t xml:space="preserve"> </w:t>
      </w:r>
      <w:r>
        <w:rPr>
          <w:iCs/>
          <w:i/>
          <w:strike/>
        </w:rPr>
        <w:t xml:space="preserve">climwin</w:t>
      </w:r>
      <w:r>
        <w:rPr>
          <w:strike/>
        </w:rPr>
        <w:t xml:space="preserve"> </w:t>
      </w:r>
      <w:r>
        <w:rPr>
          <w:strike/>
        </w:rPr>
        <w:t xml:space="preserve">individually be species.</w:t>
      </w:r>
      <w:r>
        <w:t xml:space="preserve"> </w:t>
      </w:r>
      <w:r>
        <w:rPr>
          <w:iCs/>
          <w:i/>
        </w:rPr>
        <w:t xml:space="preserve">(2nd sentence moved to methods)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r>
        <w:t xml:space="preserve"> </w:t>
      </w:r>
      <w:r>
        <w:t xml:space="preserve">(Germain &amp; Lutz, 2020)</w:t>
      </w:r>
      <w:r>
        <w:t xml:space="preserve">.</w:t>
      </w:r>
    </w:p>
    <w:p>
      <w:pPr>
        <w:pStyle w:val="BodyText"/>
      </w:pPr>
      <w:r>
        <w:rPr>
          <w:strike/>
        </w:rPr>
        <w:t xml:space="preserve">Finally, our analysis differed from conventional approaches in the use of GLS models to simultaneously quantify the effects of climate, DBH, and year, while accounting for idiosyncratic growth trends of individual trees through an autocorrelation structure</w:t>
      </w:r>
      <w:r>
        <w:rPr>
          <w:strike/>
        </w:rPr>
        <w:t xml:space="preserve"> </w:t>
      </w:r>
      <w:r>
        <w:rPr>
          <w:strike/>
        </w:rPr>
        <w:t xml:space="preserve">(step 2, Fig. 1; see also Evans et al., 2017; Rollinson et al., 2021)</w:t>
      </w:r>
      <w:r>
        <w:rPr>
          <w:strike/>
        </w:rPr>
        <w:t xml:space="preserve">.</w:t>
      </w:r>
      <w:r>
        <w:t xml:space="preserve"> </w:t>
      </w:r>
      <w:r>
        <w:rPr>
          <w:strike/>
        </w:rPr>
        <w:t xml:space="preserve">This approach allowed the consideration of additive and interactive effects of climate with variables that change over longer time frames – here, DBH and year, although other slowly-changing drivers could also be used.</w:t>
      </w:r>
      <w:r>
        <w:t xml:space="preserve"> </w:t>
      </w:r>
      <w:r>
        <w:t xml:space="preserve">We found that interactions between climate variables and DBH were common (44% of cases analyzed; Figs. 4, S56, S57).</w:t>
      </w:r>
      <w:r>
        <w:t xml:space="preserve"> </w:t>
      </w:r>
      <w:r>
        <w:t xml:space="preserve">The most coherent pattern observed in this analysis was a tendency for larger trees to be more sensitive to precipitation and high temperatures (Fig. 4),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Holz et al., 2018; Maxwell et al., 2016; Peltier &amp; Ogle, 2020; Schurman et al., 2019;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50"/>
    <w:bookmarkStart w:id="51" w:name="Variation"/>
    <w:p>
      <w:pPr>
        <w:pStyle w:val="Heading2"/>
      </w:pPr>
      <w:r>
        <w:t xml:space="preserve">Variation with DBH</w:t>
      </w:r>
    </w:p>
    <w:p>
      <w:pPr>
        <w:pStyle w:val="FirstParagraph"/>
      </w:pPr>
      <w:r>
        <w:t xml:space="preserve">Growth rate – whether measured as RW, BAI, or</w:t>
      </w:r>
      <w:r>
        <w:t xml:space="preserve"> </w:t>
      </w:r>
      <m:oMath>
        <m:r>
          <m:t>Δ</m:t>
        </m:r>
        <m:r>
          <m:t>A</m:t>
        </m:r>
        <m:r>
          <m:t>G</m:t>
        </m:r>
        <m:r>
          <m:t>B</m:t>
        </m:r>
      </m:oMath>
      <w:r>
        <w:t xml:space="preserve"> </w:t>
      </w:r>
      <w:r>
        <w:t xml:space="preserve">– varied nonlinearly with DBH for the majority of site-species combinations (81 - 98% depending on growth metric; Fig. 5).</w:t>
      </w:r>
      <w:r>
        <w:t xml:space="preserve"> </w:t>
      </w:r>
      <w:r>
        <w:t xml:space="preserve">Variation in these patterns – particularly for RW, for which variation was most pronounced – was driven by two primary, interrelated factors: species ecology and stand history.</w:t>
      </w:r>
      <w:r>
        <w:t xml:space="preserve"> </w:t>
      </w:r>
      <w:r>
        <w:t xml:space="preserve">Species that would have established in fairly open conditions –</w:t>
      </w:r>
      <w:r>
        <w:t xml:space="preserve"> </w:t>
      </w:r>
      <w:r>
        <w:rPr>
          <w:iCs/>
          <w:i/>
        </w:rPr>
        <w:t xml:space="preserve">i.e.</w:t>
      </w:r>
      <w:r>
        <w:t xml:space="preserve">, shade-intolerant species (Table S2) and those at sites with more open canopies (e.g., LT, SC) – exhibited rapid initial growth, measured as RW,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 RW.</w:t>
      </w:r>
      <w:r>
        <w:t xml:space="preserve"> </w:t>
      </w:r>
      <w:r>
        <w:t xml:space="preserve">This latter pattern is consistent with the observation that when contemporary growth rates are compared across individuals within a stand (</w:t>
      </w:r>
      <w:r>
        <w:rPr>
          <w:iCs/>
          <w:i/>
        </w:rPr>
        <w:t xml:space="preserve">i.e.</w:t>
      </w:r>
      <w:r>
        <w:t xml:space="preserve">, a</w:t>
      </w:r>
      <w:r>
        <w:t xml:space="preserve"> </w:t>
      </w:r>
      <w:r>
        <w:t xml:space="preserve">“</w:t>
      </w:r>
      <w:r>
        <w:t xml:space="preserve">cross-sectional</w:t>
      </w:r>
      <w:r>
        <w:t xml:space="preserve">”</w:t>
      </w:r>
      <w:r>
        <w:t xml:space="preserve"> </w:t>
      </w:r>
      <w:r>
        <w:t xml:space="preserve">analysis), RW increases continuously with DBH</w:t>
      </w:r>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BAI and</w:t>
      </w:r>
      <w:r>
        <w:t xml:space="preserve"> </w:t>
      </w:r>
      <m:oMath>
        <m:r>
          <m:t>Δ</m:t>
        </m:r>
        <m:r>
          <m:t>A</m:t>
        </m:r>
        <m:r>
          <m:t>G</m:t>
        </m:r>
        <m:r>
          <m:t>B</m:t>
        </m:r>
      </m:oMath>
      <w:r>
        <w:t xml:space="preserve"> </w:t>
      </w:r>
      <w:r>
        <w:t xml:space="preserve">for the majority (77%) of species-site combinations analyzed (Fig. 5), contrasting with findings of cross-sectional analyses showing that</w:t>
      </w:r>
      <w:r>
        <w:t xml:space="preserve"> </w:t>
      </w:r>
      <m:oMath>
        <m:r>
          <m:t>Δ</m:t>
        </m:r>
        <m:r>
          <m:t>A</m:t>
        </m:r>
        <m:r>
          <m:t>G</m:t>
        </m:r>
        <m:r>
          <m:t>B</m:t>
        </m:r>
      </m:oMath>
      <w:r>
        <w:t xml:space="preserve"> </w:t>
      </w:r>
      <w:r>
        <w:t xml:space="preserve">increases continuously with DBH</w:t>
      </w:r>
      <w:r>
        <w:t xml:space="preserve"> </w:t>
      </w:r>
      <w:r>
        <w:t xml:space="preserve">(Meakem et al., 2018; Stephenson et al., 2014)</w:t>
      </w:r>
      <w:r>
        <w:t xml:space="preserve">, which has also been observed in tree 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 BAI and</w:t>
      </w:r>
      <w:r>
        <w:t xml:space="preserve"> </w:t>
      </w:r>
      <m:oMath>
        <m:r>
          <m:t>Δ</m:t>
        </m:r>
        <m:r>
          <m:t>A</m:t>
        </m:r>
        <m:r>
          <m:t>G</m:t>
        </m:r>
        <m:r>
          <m:t>B</m:t>
        </m:r>
      </m:oMath>
      <w:r>
        <w:t xml:space="preserve"> </w:t>
      </w:r>
      <w:r>
        <w:t xml:space="preserve">at larger DBH 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 BAI and</w:t>
      </w:r>
      <w:r>
        <w:t xml:space="preserve"> </w:t>
      </w:r>
      <m:oMath>
        <m:r>
          <m:t>Δ</m:t>
        </m:r>
        <m:r>
          <m:t>A</m:t>
        </m:r>
        <m:r>
          <m:t>G</m:t>
        </m:r>
        <m:r>
          <m:t>B</m:t>
        </m:r>
      </m:oMath>
      <w:r>
        <w:t xml:space="preserve"> </w:t>
      </w:r>
      <w:r>
        <w:t xml:space="preserve">declines at larger DBH (Figs. S35-S54), suggesting that some of the declines in Figure 5 are more properly attributed to the effect of year than DBH.</w:t>
      </w:r>
    </w:p>
    <w:bookmarkEnd w:id="51"/>
    <w:bookmarkStart w:id="52"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 DBH by yeaar (Fig. 6).</w:t>
      </w:r>
      <w:r>
        <w:t xml:space="preserve"> </w:t>
      </w:r>
      <w:r>
        <w:t xml:space="preserve">These results were similar across growth metrics (Figs. S35-S54), and consistent with an independent analysis of growth-DBH trends by decade (Figs. 6, S58-S67), indicating that our approach is robust in its analytical structure.</w:t>
      </w:r>
      <w:r>
        <w:t xml:space="preserve"> </w:t>
      </w:r>
      <w:r>
        <w:t xml:space="preserve">Indeed, in a comparative analysis of several methods commonly used to detect growth trends, an approach</w:t>
      </w:r>
      <w:r>
        <w:t xml:space="preserve"> </w:t>
      </w:r>
      <w:r>
        <w:rPr>
          <w:iCs/>
          <w:i/>
        </w:rPr>
        <w:t xml:space="preserve">conceptually?</w:t>
      </w:r>
      <w:r>
        <w:t xml:space="preserve"> </w:t>
      </w:r>
      <w:r>
        <w:t xml:space="preserve">parallel (</w:t>
      </w:r>
      <w:r>
        <w:rPr>
          <w:bCs/>
          <w:b/>
        </w:rPr>
        <w:t xml:space="preserve">AT comments that it doesn’t seem parallel</w:t>
      </w:r>
      <w:r>
        <w:t xml:space="preserve">)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 RW and BAI with DBH (Fig. 5).</w:t>
      </w:r>
      <w:r>
        <w:t xml:space="preserve"> </w:t>
      </w:r>
      <w:r>
        <w:t xml:space="preserve">For instance, based on our finding that BAI tends to rise and fall with DBH,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the primary drivers,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stand dynamics as cohorts and stands age, and are pretty typical of mixed-species stands that experience vertical stratification</w:t>
      </w:r>
      <w:r>
        <w:t xml:space="preserve"> </w:t>
      </w:r>
      <w:r>
        <w:t xml:space="preserve">(Oliver &amp; Larson, 1990)</w:t>
      </w:r>
      <w:r>
        <w:t xml:space="preserv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 DBH 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stand development</w:t>
      </w:r>
      <w:r>
        <w:t xml:space="preserve"> </w:t>
      </w:r>
      <w:r>
        <w:t xml:space="preserve">(Lorimer et al., 1988; Lorimer &amp; Frelich, 1989; Oliver &amp; Larson, 1990)</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150 years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 </w:t>
      </w:r>
      <w:r>
        <w:t xml:space="preserve">or the lack of intermediate disturbances giving rise to increasing crowding</w:t>
      </w:r>
      <w:r>
        <w:t xml:space="preserve"> </w:t>
      </w:r>
      <w:r>
        <w:t xml:space="preserve">(e.g., Lutz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various species differently within the GLS model.</w:t>
      </w:r>
      <w:r>
        <w:t xml:space="preserve"> </w:t>
      </w:r>
      <w:r>
        <w:t xml:space="preserve">In cases such as this, a non-linear response function to yeaar,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it is possible that the primary climate drivers identified here do not capture all aspects of a strong regional warming and drying trend</w:t>
      </w:r>
      <w:r>
        <w:t xml:space="preserve"> </w:t>
      </w:r>
      <w:r>
        <w:t xml:space="preserve">(Touchan et al., 2011; Williams et al., 2013)</w:t>
      </w:r>
      <w:r>
        <w:t xml:space="preserve">.</w:t>
      </w:r>
      <w:r>
        <w:t xml:space="preserve"> </w:t>
      </w:r>
      <w:r>
        <w:t xml:space="preserve">At Scotty Creek, in northern Canada, where rapid warming and melting permafrost are altering hydraulic conditions,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w:t>
      </w:r>
      <w:r>
        <w:t xml:space="preserve"> </w:t>
      </w:r>
      <w:r>
        <w:t xml:space="preserve">With a few potential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 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52"/>
    <w:bookmarkStart w:id="53"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 (Table 1).</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 DBH are common (Figs. 3 and 4, respectively),</w:t>
      </w:r>
      <w:r>
        <w:t xml:space="preserve"> </w:t>
      </w:r>
      <w:r>
        <w:t xml:space="preserve">that growth – expressed in any metric – almost universally varies with DBH (Fig. 5),</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53"/>
    <w:bookmarkEnd w:id="54"/>
    <w:bookmarkStart w:id="55"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Nadja Rüger…</w:t>
      </w:r>
      <w:r>
        <w:t xml:space="preserve"> </w:t>
      </w:r>
      <w:r>
        <w:t xml:space="preserve">This analysis was funded by a Smithsonian Scholarly Studies grant to KAT, SM, HCM, and CP.</w:t>
      </w:r>
      <w:r>
        <w:t xml:space="preserve"> </w:t>
      </w:r>
      <w:r>
        <w:t xml:space="preserve">Tree-ring analysis at Cedar Breaks was supported by the Utah Agricultural Extension Station.</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5"/>
    <w:bookmarkStart w:id="56"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6"/>
    <w:bookmarkStart w:id="57"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 or the International Tree-Ring Data Bank, ITRDB (CB; …).</w:t>
      </w:r>
    </w:p>
    <w:bookmarkEnd w:id="57"/>
    <w:bookmarkStart w:id="58"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 DBH</w:t>
      </w:r>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 DBH interactions with RW as the response metric.</w:t>
      </w:r>
    </w:p>
    <w:p>
      <w:pPr>
        <w:pStyle w:val="BodyText"/>
      </w:pPr>
      <w:r>
        <w:t xml:space="preserve">Figure S57. All signficant climate - DBH interactions with RW as the response metric.</w:t>
      </w:r>
    </w:p>
    <w:p>
      <w:pPr>
        <w:pStyle w:val="BodyText"/>
      </w:pPr>
      <w:r>
        <w:t xml:space="preserve">Figures S58-S67. Relationships between DBH and BAI by decade for all sites.</w:t>
      </w:r>
    </w:p>
    <w:bookmarkEnd w:id="58"/>
    <w:bookmarkStart w:id="288" w:name="References"/>
    <w:p>
      <w:pPr>
        <w:pStyle w:val="Heading1"/>
      </w:pPr>
      <w:r>
        <w:t xml:space="preserve">References</w:t>
      </w:r>
    </w:p>
    <w:bookmarkStart w:id="287" w:name="refs"/>
    <w:bookmarkStart w:id="60"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59">
        <w:r>
          <w:rPr>
            <w:rStyle w:val="Hyperlink"/>
          </w:rPr>
          <w:t xml:space="preserve">https://doi.org/10.1017/qua.2019.33</w:t>
        </w:r>
      </w:hyperlink>
    </w:p>
    <w:bookmarkEnd w:id="60"/>
    <w:bookmarkStart w:id="62"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61">
        <w:r>
          <w:rPr>
            <w:rStyle w:val="Hyperlink"/>
          </w:rPr>
          <w:t xml:space="preserve">https://doi.org/10.1007/s00468-017-1629-0</w:t>
        </w:r>
      </w:hyperlink>
    </w:p>
    <w:bookmarkEnd w:id="62"/>
    <w:bookmarkStart w:id="64"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3">
        <w:r>
          <w:rPr>
            <w:rStyle w:val="Hyperlink"/>
          </w:rPr>
          <w:t xml:space="preserve">https://doi.org/10.1007/s00442-017-3879-3</w:t>
        </w:r>
      </w:hyperlink>
    </w:p>
    <w:bookmarkEnd w:id="64"/>
    <w:bookmarkStart w:id="66"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5">
        <w:r>
          <w:rPr>
            <w:rStyle w:val="Hyperlink"/>
          </w:rPr>
          <w:t xml:space="preserve">https://doi.org/10.1007/978-3-319-61669-8</w:t>
        </w:r>
      </w:hyperlink>
    </w:p>
    <w:bookmarkEnd w:id="66"/>
    <w:bookmarkStart w:id="68" w:name="ref-anderson-teixeira_forestgeo_2020"/>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7">
        <w:r>
          <w:rPr>
            <w:rStyle w:val="Hyperlink"/>
          </w:rPr>
          <w:t xml:space="preserve">https://doi.org/10.5281/ZENODO.3958215</w:t>
        </w:r>
      </w:hyperlink>
    </w:p>
    <w:bookmarkEnd w:id="68"/>
    <w:bookmarkStart w:id="70"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69">
        <w:r>
          <w:rPr>
            <w:rStyle w:val="Hyperlink"/>
          </w:rPr>
          <w:t xml:space="preserve">https://doi.org/10.1111/gcb.12712</w:t>
        </w:r>
      </w:hyperlink>
    </w:p>
    <w:bookmarkEnd w:id="70"/>
    <w:bookmarkStart w:id="72"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71">
        <w:r>
          <w:rPr>
            <w:rStyle w:val="Hyperlink"/>
          </w:rPr>
          <w:t xml:space="preserve">https://doi.org/10.1111/1365-2435.12470</w:t>
        </w:r>
      </w:hyperlink>
    </w:p>
    <w:bookmarkEnd w:id="72"/>
    <w:bookmarkStart w:id="74"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3">
        <w:r>
          <w:rPr>
            <w:rStyle w:val="Hyperlink"/>
          </w:rPr>
          <w:t xml:space="preserve">https://doi.org/10.1016/j.quascirev.2018.07.009</w:t>
        </w:r>
      </w:hyperlink>
    </w:p>
    <w:bookmarkEnd w:id="74"/>
    <w:bookmarkStart w:id="76"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75">
        <w:r>
          <w:rPr>
            <w:rStyle w:val="Hyperlink"/>
          </w:rPr>
          <w:t xml:space="preserve">https://doi.org/10.1126/sciadv.aat4313</w:t>
        </w:r>
      </w:hyperlink>
    </w:p>
    <w:bookmarkEnd w:id="76"/>
    <w:bookmarkStart w:id="77" w:name="ref-banburymorgan_global_2021"/>
    <w:p>
      <w:pPr>
        <w:pStyle w:val="Bibliography"/>
      </w:pPr>
      <w:r>
        <w:t xml:space="preserve">Banbury Morgan, B., Herrmann, V., Kunert, N., Bond-Lamberty, B., Muller-Landau, H. C., &amp; Anderson-Teixeira, K. J. (2021). Global patterns of forest autotrophic carbon fluxes.</w:t>
      </w:r>
      <w:r>
        <w:t xml:space="preserve"> </w:t>
      </w:r>
      <w:r>
        <w:rPr>
          <w:iCs/>
          <w:i/>
        </w:rPr>
        <w:t xml:space="preserve">Global Change Biology</w:t>
      </w:r>
      <w:r>
        <w:t xml:space="preserve">,</w:t>
      </w:r>
      <w:r>
        <w:t xml:space="preserve"> </w:t>
      </w:r>
      <w:r>
        <w:rPr>
          <w:iCs/>
          <w:i/>
        </w:rPr>
        <w:t xml:space="preserve">in press</w:t>
      </w:r>
      <w:r>
        <w:t xml:space="preserve">.</w:t>
      </w:r>
    </w:p>
    <w:bookmarkEnd w:id="77"/>
    <w:bookmarkStart w:id="79"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78">
        <w:r>
          <w:rPr>
            <w:rStyle w:val="Hyperlink"/>
          </w:rPr>
          <w:t xml:space="preserve">https://doi.org/10.1016/j.agrformet.2012.10.010</w:t>
        </w:r>
      </w:hyperlink>
    </w:p>
    <w:bookmarkEnd w:id="79"/>
    <w:bookmarkStart w:id="81"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80">
        <w:r>
          <w:rPr>
            <w:rStyle w:val="Hyperlink"/>
          </w:rPr>
          <w:t xml:space="preserve">https://doi.org/10.1038/nplants.2015.139</w:t>
        </w:r>
      </w:hyperlink>
    </w:p>
    <w:bookmarkEnd w:id="81"/>
    <w:bookmarkStart w:id="83"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82">
        <w:r>
          <w:rPr>
            <w:rStyle w:val="Hyperlink"/>
          </w:rPr>
          <w:t xml:space="preserve">https://doi.org/10.3959/2008-6.1</w:t>
        </w:r>
      </w:hyperlink>
    </w:p>
    <w:bookmarkEnd w:id="83"/>
    <w:bookmarkStart w:id="85" w:name="ref-birch_birch_2020b"/>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84">
        <w:r>
          <w:rPr>
            <w:rStyle w:val="Hyperlink"/>
          </w:rPr>
          <w:t xml:space="preserve">https://www.ncdc.noaa.gov/paleo-search/study/31995</w:t>
        </w:r>
      </w:hyperlink>
    </w:p>
    <w:bookmarkEnd w:id="85"/>
    <w:bookmarkStart w:id="87" w:name="ref-birch_birch_2020c"/>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86">
        <w:r>
          <w:rPr>
            <w:rStyle w:val="Hyperlink"/>
          </w:rPr>
          <w:t xml:space="preserve">https://www.ncdc.noaa.gov/paleo-search/study/31996</w:t>
        </w:r>
      </w:hyperlink>
    </w:p>
    <w:bookmarkEnd w:id="87"/>
    <w:bookmarkStart w:id="89" w:name="ref-birch_birch_2020"/>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88">
        <w:r>
          <w:rPr>
            <w:rStyle w:val="Hyperlink"/>
          </w:rPr>
          <w:t xml:space="preserve">https://www.ncdc.noaa.gov/paleo-search/study/31997</w:t>
        </w:r>
      </w:hyperlink>
    </w:p>
    <w:bookmarkEnd w:id="89"/>
    <w:bookmarkStart w:id="91"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0">
        <w:r>
          <w:rPr>
            <w:rStyle w:val="Hyperlink"/>
          </w:rPr>
          <w:t xml:space="preserve">https://doi.org/10.1016/j.tplants.2012.08.005</w:t>
        </w:r>
      </w:hyperlink>
    </w:p>
    <w:bookmarkEnd w:id="91"/>
    <w:bookmarkStart w:id="93"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92">
        <w:r>
          <w:rPr>
            <w:rStyle w:val="Hyperlink"/>
          </w:rPr>
          <w:t xml:space="preserve">https://doi.org/10.1078/1125-7865-00017</w:t>
        </w:r>
      </w:hyperlink>
    </w:p>
    <w:bookmarkEnd w:id="93"/>
    <w:bookmarkStart w:id="95"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t xml:space="preserve">CO</w:t>
      </w:r>
      <w:r>
        <w:t xml:space="preserve"> </w:t>
      </w:r>
      <w:r>
        <w:rPr>
          <w:vertAlign w:val="subscript"/>
        </w:rPr>
        <w:t xml:space="preserve">2</w:t>
      </w:r>
      <w:r>
        <w:t xml:space="preserve"> </w:t>
      </w:r>
      <w:r>
        <w:t xml:space="preserve">FERTILIZATION FROM TREE RINGS</w:t>
      </w:r>
      <w:r>
        <w:t xml:space="preserve">.</w:t>
      </w:r>
      <w:r>
        <w:t xml:space="preserve"> </w:t>
      </w:r>
      <w:r>
        <w:rPr>
          <w:iCs/>
          <w:i/>
        </w:rPr>
        <w:t xml:space="preserve">Global Biogeochemical Cycles</w:t>
      </w:r>
      <w:r>
        <w:t xml:space="preserve">,</w:t>
      </w:r>
      <w:r>
        <w:t xml:space="preserve"> </w:t>
      </w:r>
      <w:r>
        <w:rPr>
          <w:iCs/>
          <w:i/>
        </w:rPr>
        <w:t xml:space="preserve">26</w:t>
      </w:r>
      <w:r>
        <w:t xml:space="preserve">(1), n/a–n/a.</w:t>
      </w:r>
      <w:r>
        <w:t xml:space="preserve"> </w:t>
      </w:r>
      <w:hyperlink r:id="rId94">
        <w:r>
          <w:rPr>
            <w:rStyle w:val="Hyperlink"/>
          </w:rPr>
          <w:t xml:space="preserve">https://doi.org/10.1029/2011GB004143</w:t>
        </w:r>
      </w:hyperlink>
    </w:p>
    <w:bookmarkEnd w:id="95"/>
    <w:bookmarkStart w:id="97"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96">
        <w:r>
          <w:rPr>
            <w:rStyle w:val="Hyperlink"/>
          </w:rPr>
          <w:t xml:space="preserve">https://doi.org/10.1111/gcb.13410</w:t>
        </w:r>
      </w:hyperlink>
    </w:p>
    <w:bookmarkEnd w:id="97"/>
    <w:bookmarkStart w:id="99"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98">
        <w:r>
          <w:rPr>
            <w:rStyle w:val="Hyperlink"/>
          </w:rPr>
          <w:t xml:space="preserve">https://doi.org/10.1139/cjfr-2018-0206</w:t>
        </w:r>
      </w:hyperlink>
    </w:p>
    <w:bookmarkEnd w:id="99"/>
    <w:bookmarkStart w:id="101"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0">
        <w:r>
          <w:rPr>
            <w:rStyle w:val="Hyperlink"/>
          </w:rPr>
          <w:t xml:space="preserve">https://doi.org/10.1126/science.1197175</w:t>
        </w:r>
      </w:hyperlink>
    </w:p>
    <w:bookmarkEnd w:id="101"/>
    <w:bookmarkStart w:id="103"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02">
        <w:r>
          <w:rPr>
            <w:rStyle w:val="Hyperlink"/>
          </w:rPr>
          <w:t xml:space="preserve">https://doi.org/10.1111/gcb.13535</w:t>
        </w:r>
      </w:hyperlink>
    </w:p>
    <w:bookmarkEnd w:id="103"/>
    <w:bookmarkStart w:id="105"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04">
        <w:r>
          <w:rPr>
            <w:rStyle w:val="Hyperlink"/>
          </w:rPr>
          <w:t xml:space="preserve">https://doi.org/10.1111/gcb.13366</w:t>
        </w:r>
      </w:hyperlink>
    </w:p>
    <w:bookmarkEnd w:id="105"/>
    <w:bookmarkStart w:id="107"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06">
        <w:r>
          <w:rPr>
            <w:rStyle w:val="Hyperlink"/>
          </w:rPr>
          <w:t xml:space="preserve">https://doi.org/10.1111/ele.12650</w:t>
        </w:r>
      </w:hyperlink>
    </w:p>
    <w:bookmarkEnd w:id="107"/>
    <w:bookmarkStart w:id="109"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08">
        <w:r>
          <w:rPr>
            <w:rStyle w:val="Hyperlink"/>
          </w:rPr>
          <w:t xml:space="preserve">https://doi.org/10.1016/S0378-1127(98)00242-4</w:t>
        </w:r>
      </w:hyperlink>
    </w:p>
    <w:bookmarkEnd w:id="109"/>
    <w:bookmarkStart w:id="111" w:name="ref-cook_climate_1989"/>
    <w:p>
      <w:pPr>
        <w:pStyle w:val="Bibliography"/>
      </w:pPr>
      <w:r>
        <w:t xml:space="preserve">Cook, E.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10">
        <w:r>
          <w:rPr>
            <w:rStyle w:val="Hyperlink"/>
          </w:rPr>
          <w:t xml:space="preserve">https://doi.org/10.1007/BF00282374</w:t>
        </w:r>
      </w:hyperlink>
    </w:p>
    <w:bookmarkEnd w:id="111"/>
    <w:bookmarkStart w:id="113"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2">
        <w:r>
          <w:rPr>
            <w:rStyle w:val="Hyperlink"/>
          </w:rPr>
          <w:t xml:space="preserve">https://doi.org/10.1177/095968369700700314</w:t>
        </w:r>
      </w:hyperlink>
    </w:p>
    <w:bookmarkEnd w:id="113"/>
    <w:bookmarkStart w:id="115"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14">
        <w:r>
          <w:rPr>
            <w:rStyle w:val="Hyperlink"/>
          </w:rPr>
          <w:t xml:space="preserve">https://doi.org/10.1016/j.biocon.2020.108907</w:t>
        </w:r>
      </w:hyperlink>
    </w:p>
    <w:bookmarkEnd w:id="115"/>
    <w:bookmarkStart w:id="117"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16">
        <w:r>
          <w:rPr>
            <w:rStyle w:val="Hyperlink"/>
          </w:rPr>
          <w:t xml:space="preserve">https://doi.org/10.1016/j.foreco.2009.08.009</w:t>
        </w:r>
      </w:hyperlink>
    </w:p>
    <w:bookmarkEnd w:id="117"/>
    <w:bookmarkStart w:id="119"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18">
        <w:r>
          <w:rPr>
            <w:rStyle w:val="Hyperlink"/>
          </w:rPr>
          <w:t xml:space="preserve">https://doi.org/10.1111/1365-2745.13569</w:t>
        </w:r>
      </w:hyperlink>
    </w:p>
    <w:bookmarkEnd w:id="119"/>
    <w:bookmarkStart w:id="121"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20">
        <w:r>
          <w:rPr>
            <w:rStyle w:val="Hyperlink"/>
          </w:rPr>
          <w:t xml:space="preserve">https://doi.org/10.1038/s41467-020-14300-5</w:t>
        </w:r>
      </w:hyperlink>
    </w:p>
    <w:bookmarkEnd w:id="121"/>
    <w:bookmarkStart w:id="123"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22">
        <w:r>
          <w:rPr>
            <w:rStyle w:val="Hyperlink"/>
          </w:rPr>
          <w:t xml:space="preserve">https://doi.org/10.1002/ecs2.1454</w:t>
        </w:r>
      </w:hyperlink>
    </w:p>
    <w:bookmarkEnd w:id="123"/>
    <w:bookmarkStart w:id="125"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24">
        <w:r>
          <w:rPr>
            <w:rStyle w:val="Hyperlink"/>
          </w:rPr>
          <w:t xml:space="preserve">https://doi.org/10.1016/j.foreco.2008.10.014</w:t>
        </w:r>
      </w:hyperlink>
    </w:p>
    <w:bookmarkEnd w:id="125"/>
    <w:bookmarkStart w:id="127"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26">
        <w:r>
          <w:rPr>
            <w:rStyle w:val="Hyperlink"/>
          </w:rPr>
          <w:t xml:space="preserve">https://doi.org/10.1126/science.1066360</w:t>
        </w:r>
      </w:hyperlink>
    </w:p>
    <w:bookmarkEnd w:id="127"/>
    <w:bookmarkStart w:id="129"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28">
        <w:r>
          <w:rPr>
            <w:rStyle w:val="Hyperlink"/>
          </w:rPr>
          <w:t xml:space="preserve">https://doi.org/10.1007/s10584-009-9594-2</w:t>
        </w:r>
      </w:hyperlink>
    </w:p>
    <w:bookmarkEnd w:id="129"/>
    <w:bookmarkStart w:id="131"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30">
        <w:r>
          <w:rPr>
            <w:rStyle w:val="Hyperlink"/>
          </w:rPr>
          <w:t xml:space="preserve">https://doi.org/10.1002/ecs2.1889</w:t>
        </w:r>
      </w:hyperlink>
    </w:p>
    <w:bookmarkEnd w:id="131"/>
    <w:bookmarkStart w:id="133"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32">
        <w:r>
          <w:rPr>
            <w:rStyle w:val="Hyperlink"/>
          </w:rPr>
          <w:t xml:space="preserve">https://doi.org/10.1002/ecm.1423</w:t>
        </w:r>
      </w:hyperlink>
    </w:p>
    <w:bookmarkEnd w:id="133"/>
    <w:bookmarkStart w:id="135"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34">
        <w:r>
          <w:rPr>
            <w:rStyle w:val="Hyperlink"/>
          </w:rPr>
          <w:t xml:space="preserve">https://doi.org/10.1016/j.foreco.2020.118717</w:t>
        </w:r>
      </w:hyperlink>
    </w:p>
    <w:bookmarkEnd w:id="135"/>
    <w:bookmarkStart w:id="137"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36">
        <w:r>
          <w:rPr>
            <w:rStyle w:val="Hyperlink"/>
          </w:rPr>
          <w:t xml:space="preserve">https://doi.org/10.1111/gcb.13208</w:t>
        </w:r>
      </w:hyperlink>
    </w:p>
    <w:bookmarkEnd w:id="137"/>
    <w:bookmarkStart w:id="139" w:name="ref-friedlingstein_climate_2006"/>
    <w:p>
      <w:pPr>
        <w:pStyle w:val="Bibliography"/>
      </w:pPr>
      <w:r>
        <w:t xml:space="preserve">Friedlingstein, P., Cox, P., Betts, R., Bopp, L., von Bloh, W., Brovkin, V., Cadule, P., Doney, S., Eby, M., Fung, I., Bala, G., John, J., Jones, C., Joos, F., Kato, T., Kawamiya, M., Knorr, W., Lindsay, K., Matthews, H. D., … Zeng, N. (2006).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w:t>
      </w:r>
      <w:r>
        <w:t xml:space="preserve"> </w:t>
      </w:r>
      <w:r>
        <w:rPr>
          <w:iCs/>
          <w:i/>
        </w:rPr>
        <w:t xml:space="preserve">19</w:t>
      </w:r>
      <w:r>
        <w:t xml:space="preserve">(14), 3337–3353.</w:t>
      </w:r>
      <w:r>
        <w:t xml:space="preserve"> </w:t>
      </w:r>
      <w:hyperlink r:id="rId138">
        <w:r>
          <w:rPr>
            <w:rStyle w:val="Hyperlink"/>
          </w:rPr>
          <w:t xml:space="preserve">https://doi.org/10.1175/JCLI3800.1</w:t>
        </w:r>
      </w:hyperlink>
    </w:p>
    <w:bookmarkEnd w:id="139"/>
    <w:bookmarkStart w:id="140"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40"/>
    <w:bookmarkStart w:id="142"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41">
        <w:r>
          <w:rPr>
            <w:rStyle w:val="Hyperlink"/>
          </w:rPr>
          <w:t xml:space="preserve">https://doi.org/10.1016/S0065-2504(08)60158-0</w:t>
        </w:r>
      </w:hyperlink>
    </w:p>
    <w:bookmarkEnd w:id="142"/>
    <w:bookmarkStart w:id="144"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43">
        <w:r>
          <w:rPr>
            <w:rStyle w:val="Hyperlink"/>
          </w:rPr>
          <w:t xml:space="preserve">https://doi.org/10.1002/ecs2.1847</w:t>
        </w:r>
      </w:hyperlink>
    </w:p>
    <w:bookmarkEnd w:id="144"/>
    <w:bookmarkStart w:id="146" w:name="ref-germain_climate_2020"/>
    <w:p>
      <w:pPr>
        <w:pStyle w:val="Bibliography"/>
      </w:pPr>
      <w:r>
        <w:t xml:space="preserve">Germain, S. J., &amp; Lutz, J. A. (2020). Climate extremes may be more important than climate means when predicting species range shifts.</w:t>
      </w:r>
      <w:r>
        <w:t xml:space="preserve"> </w:t>
      </w:r>
      <w:r>
        <w:rPr>
          <w:iCs/>
          <w:i/>
        </w:rPr>
        <w:t xml:space="preserve">Climatic Change</w:t>
      </w:r>
      <w:r>
        <w:t xml:space="preserve">,</w:t>
      </w:r>
      <w:r>
        <w:t xml:space="preserve"> </w:t>
      </w:r>
      <w:r>
        <w:rPr>
          <w:iCs/>
          <w:i/>
        </w:rPr>
        <w:t xml:space="preserve">163</w:t>
      </w:r>
      <w:r>
        <w:t xml:space="preserve">(1), 579–598.</w:t>
      </w:r>
      <w:r>
        <w:t xml:space="preserve"> </w:t>
      </w:r>
      <w:hyperlink r:id="rId145">
        <w:r>
          <w:rPr>
            <w:rStyle w:val="Hyperlink"/>
          </w:rPr>
          <w:t xml:space="preserve">https://doi.org/10.1007/s10584-020-02868-2</w:t>
        </w:r>
      </w:hyperlink>
    </w:p>
    <w:bookmarkEnd w:id="146"/>
    <w:bookmarkStart w:id="148"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47">
        <w:r>
          <w:rPr>
            <w:rStyle w:val="Hyperlink"/>
          </w:rPr>
          <w:t xml:space="preserve">https://doi.org/10.1007/s10021-020-00501-y</w:t>
        </w:r>
      </w:hyperlink>
    </w:p>
    <w:bookmarkEnd w:id="148"/>
    <w:bookmarkStart w:id="150"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49">
        <w:r>
          <w:rPr>
            <w:rStyle w:val="Hyperlink"/>
          </w:rPr>
          <w:t xml:space="preserve">https://doi.org/10.1073/pnas.1610156113</w:t>
        </w:r>
      </w:hyperlink>
    </w:p>
    <w:bookmarkEnd w:id="150"/>
    <w:bookmarkStart w:id="151"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51"/>
    <w:bookmarkStart w:id="153"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52">
        <w:r>
          <w:rPr>
            <w:rStyle w:val="Hyperlink"/>
          </w:rPr>
          <w:t xml:space="preserve">https://doi.org/10.2307/1937545</w:t>
        </w:r>
      </w:hyperlink>
    </w:p>
    <w:bookmarkEnd w:id="153"/>
    <w:bookmarkStart w:id="155"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54">
        <w:r>
          <w:rPr>
            <w:rStyle w:val="Hyperlink"/>
          </w:rPr>
          <w:t xml:space="preserve">https://doi.org/10.1111/gcb.12955</w:t>
        </w:r>
      </w:hyperlink>
    </w:p>
    <w:bookmarkEnd w:id="155"/>
    <w:bookmarkStart w:id="157"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56">
        <w:r>
          <w:rPr>
            <w:rStyle w:val="Hyperlink"/>
          </w:rPr>
          <w:t xml:space="preserve">https://doi.org/10.1007/s10342-016-0982-7</w:t>
        </w:r>
      </w:hyperlink>
    </w:p>
    <w:bookmarkEnd w:id="157"/>
    <w:bookmarkStart w:id="159"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58">
        <w:r>
          <w:rPr>
            <w:rStyle w:val="Hyperlink"/>
          </w:rPr>
          <w:t xml:space="preserve">https://doi.org/10.1111/gcb.14561</w:t>
        </w:r>
      </w:hyperlink>
    </w:p>
    <w:bookmarkEnd w:id="159"/>
    <w:bookmarkStart w:id="161"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60">
        <w:r>
          <w:rPr>
            <w:rStyle w:val="Hyperlink"/>
          </w:rPr>
          <w:t xml:space="preserve">https://doi.org/10.1002/joc.3711</w:t>
        </w:r>
      </w:hyperlink>
    </w:p>
    <w:bookmarkEnd w:id="161"/>
    <w:bookmarkStart w:id="163" w:name="ref-harris_version_2020"/>
    <w:p>
      <w:pPr>
        <w:pStyle w:val="Bibliography"/>
      </w:pPr>
      <w:r>
        <w:t xml:space="preserve">Harris, I.,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62">
        <w:r>
          <w:rPr>
            <w:rStyle w:val="Hyperlink"/>
          </w:rPr>
          <w:t xml:space="preserve">https://doi.org/10.1038/s41597-020-0453-3</w:t>
        </w:r>
      </w:hyperlink>
    </w:p>
    <w:bookmarkEnd w:id="163"/>
    <w:bookmarkStart w:id="165"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64">
        <w:r>
          <w:rPr>
            <w:rStyle w:val="Hyperlink"/>
          </w:rPr>
          <w:t xml:space="preserve">https://doi.org/10.1111/nph.15906</w:t>
        </w:r>
      </w:hyperlink>
    </w:p>
    <w:bookmarkEnd w:id="165"/>
    <w:bookmarkStart w:id="167"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66">
        <w:r>
          <w:rPr>
            <w:rStyle w:val="Hyperlink"/>
          </w:rPr>
          <w:t xml:space="preserve">https://doi.org/10.1029/2018JG004573</w:t>
        </w:r>
      </w:hyperlink>
    </w:p>
    <w:bookmarkEnd w:id="167"/>
    <w:bookmarkStart w:id="169" w:name="ref-holz_radial_2018"/>
    <w:p>
      <w:pPr>
        <w:pStyle w:val="Bibliography"/>
      </w:pPr>
      <w:r>
        <w:t xml:space="preserve">Holz, A., Hart, S. J., Williamson, G. J., Veblen, T. T., &amp; Aravena, J. C. (2018). Radial growth response to climate change along the latitudinal range of the world’s southernmost conifer in southern</w:t>
      </w:r>
      <w:r>
        <w:t xml:space="preserve"> </w:t>
      </w:r>
      <w:r>
        <w:t xml:space="preserve">South America</w:t>
      </w:r>
      <w:r>
        <w:t xml:space="preserve">.</w:t>
      </w:r>
      <w:r>
        <w:t xml:space="preserve"> </w:t>
      </w:r>
      <w:r>
        <w:rPr>
          <w:iCs/>
          <w:i/>
        </w:rPr>
        <w:t xml:space="preserve">Journal of Biogeography</w:t>
      </w:r>
      <w:r>
        <w:t xml:space="preserve">,</w:t>
      </w:r>
      <w:r>
        <w:t xml:space="preserve"> </w:t>
      </w:r>
      <w:r>
        <w:rPr>
          <w:iCs/>
          <w:i/>
        </w:rPr>
        <w:t xml:space="preserve">45</w:t>
      </w:r>
      <w:r>
        <w:t xml:space="preserve">(5), 1140–1152.</w:t>
      </w:r>
      <w:r>
        <w:t xml:space="preserve"> </w:t>
      </w:r>
      <w:hyperlink r:id="rId168">
        <w:r>
          <w:rPr>
            <w:rStyle w:val="Hyperlink"/>
          </w:rPr>
          <w:t xml:space="preserve">https://doi.org/10.1111/jbi.13199</w:t>
        </w:r>
      </w:hyperlink>
    </w:p>
    <w:bookmarkEnd w:id="169"/>
    <w:bookmarkStart w:id="171" w:name="ref-kaspar_speciesspecific_2021"/>
    <w:p>
      <w:pPr>
        <w:pStyle w:val="Bibliography"/>
      </w:pPr>
      <w:r>
        <w:t xml:space="preserve">Kašpar, J., Tumajer, J., Šamonil, P., &amp; Vašíčková, I. (2021). Species-specific climate</w:t>
      </w:r>
      <w:r>
        <w:t xml:space="preserve">growth interactions determine tree species dynamics in mixed</w:t>
      </w:r>
      <w:r>
        <w:t xml:space="preserve"> </w:t>
      </w:r>
      <w:r>
        <w:t xml:space="preserve">Central European</w:t>
      </w:r>
      <w:r>
        <w:t xml:space="preserve"> </w:t>
      </w:r>
      <w:r>
        <w:t xml:space="preserve">mountain forests.</w:t>
      </w:r>
      <w:r>
        <w:t xml:space="preserve"> </w:t>
      </w:r>
      <w:r>
        <w:rPr>
          <w:iCs/>
          <w:i/>
        </w:rPr>
        <w:t xml:space="preserve">Environmental Research Letters</w:t>
      </w:r>
      <w:r>
        <w:t xml:space="preserve">,</w:t>
      </w:r>
      <w:r>
        <w:t xml:space="preserve"> </w:t>
      </w:r>
      <w:r>
        <w:rPr>
          <w:iCs/>
          <w:i/>
        </w:rPr>
        <w:t xml:space="preserve">16</w:t>
      </w:r>
      <w:r>
        <w:t xml:space="preserve">(3), 034039.</w:t>
      </w:r>
      <w:r>
        <w:t xml:space="preserve"> </w:t>
      </w:r>
      <w:hyperlink r:id="rId170">
        <w:r>
          <w:rPr>
            <w:rStyle w:val="Hyperlink"/>
          </w:rPr>
          <w:t xml:space="preserve">https://doi.org/10.1088/1748-9326/abd8fb</w:t>
        </w:r>
      </w:hyperlink>
    </w:p>
    <w:bookmarkEnd w:id="171"/>
    <w:bookmarkStart w:id="173"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72">
        <w:r>
          <w:rPr>
            <w:rStyle w:val="Hyperlink"/>
          </w:rPr>
          <w:t xml:space="preserve">https://doi.org/10.1038/s41467-018-07800-y</w:t>
        </w:r>
      </w:hyperlink>
    </w:p>
    <w:bookmarkEnd w:id="173"/>
    <w:bookmarkStart w:id="175"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74">
        <w:r>
          <w:rPr>
            <w:rStyle w:val="Hyperlink"/>
          </w:rPr>
          <w:t xml:space="preserve">https://doi.org/10.1093/treephys/tpaa091</w:t>
        </w:r>
      </w:hyperlink>
    </w:p>
    <w:bookmarkEnd w:id="175"/>
    <w:bookmarkStart w:id="177"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76">
        <w:r>
          <w:rPr>
            <w:rStyle w:val="Hyperlink"/>
          </w:rPr>
          <w:t xml:space="preserve">https://doi.org/10.1111/nph.15668</w:t>
        </w:r>
      </w:hyperlink>
    </w:p>
    <w:bookmarkEnd w:id="177"/>
    <w:bookmarkStart w:id="179"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78">
        <w:r>
          <w:rPr>
            <w:rStyle w:val="Hyperlink"/>
          </w:rPr>
          <w:t xml:space="preserve">https://doi.org/10.1038/srep46158</w:t>
        </w:r>
      </w:hyperlink>
    </w:p>
    <w:bookmarkEnd w:id="179"/>
    <w:bookmarkStart w:id="181"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80">
        <w:r>
          <w:rPr>
            <w:rStyle w:val="Hyperlink"/>
          </w:rPr>
          <w:t xml:space="preserve">https://doi.org/10.1016/j.dendro.2019.125652</w:t>
        </w:r>
      </w:hyperlink>
    </w:p>
    <w:bookmarkEnd w:id="181"/>
    <w:bookmarkStart w:id="183" w:name="ref-lorimer_methodology_1989"/>
    <w:p>
      <w:pPr>
        <w:pStyle w:val="Bibliography"/>
      </w:pPr>
      <w:r>
        <w:t xml:space="preserve">Lorimer, C. G., &amp; Frelich, L. E. (1989). A methodology for estimating canopy disturbance frequency and intensity in dense temperate forests.</w:t>
      </w:r>
      <w:r>
        <w:t xml:space="preserve"> </w:t>
      </w:r>
      <w:r>
        <w:rPr>
          <w:iCs/>
          <w:i/>
        </w:rPr>
        <w:t xml:space="preserve">Canadian Journal of Forest Research</w:t>
      </w:r>
      <w:r>
        <w:t xml:space="preserve">.</w:t>
      </w:r>
      <w:r>
        <w:t xml:space="preserve"> </w:t>
      </w:r>
      <w:hyperlink r:id="rId182">
        <w:r>
          <w:rPr>
            <w:rStyle w:val="Hyperlink"/>
          </w:rPr>
          <w:t xml:space="preserve">https://doi.org/10.1139/x89-102</w:t>
        </w:r>
      </w:hyperlink>
    </w:p>
    <w:bookmarkEnd w:id="183"/>
    <w:bookmarkStart w:id="185" w:name="ref-lorimer_estimating_1988"/>
    <w:p>
      <w:pPr>
        <w:pStyle w:val="Bibliography"/>
      </w:pPr>
      <w:r>
        <w:t xml:space="preserve">Lorimer, C. G., Frelich, L. E., &amp; Nordheim, E. V. (1988). Estimating</w:t>
      </w:r>
      <w:r>
        <w:t xml:space="preserve"> </w:t>
      </w:r>
      <w:r>
        <w:t xml:space="preserve">Gap Origin Probabilities</w:t>
      </w:r>
      <w:r>
        <w:t xml:space="preserve"> </w:t>
      </w:r>
      <w:r>
        <w:t xml:space="preserve">for</w:t>
      </w:r>
      <w:r>
        <w:t xml:space="preserve"> </w:t>
      </w:r>
      <w:r>
        <w:t xml:space="preserve">Canopy Trees</w:t>
      </w:r>
      <w:r>
        <w:t xml:space="preserve">.</w:t>
      </w:r>
      <w:r>
        <w:t xml:space="preserve"> </w:t>
      </w:r>
      <w:r>
        <w:rPr>
          <w:iCs/>
          <w:i/>
        </w:rPr>
        <w:t xml:space="preserve">Ecology</w:t>
      </w:r>
      <w:r>
        <w:t xml:space="preserve">,</w:t>
      </w:r>
      <w:r>
        <w:t xml:space="preserve"> </w:t>
      </w:r>
      <w:r>
        <w:rPr>
          <w:iCs/>
          <w:i/>
        </w:rPr>
        <w:t xml:space="preserve">69</w:t>
      </w:r>
      <w:r>
        <w:t xml:space="preserve">(3), 778–785.</w:t>
      </w:r>
      <w:r>
        <w:t xml:space="preserve"> </w:t>
      </w:r>
      <w:hyperlink r:id="rId184">
        <w:r>
          <w:rPr>
            <w:rStyle w:val="Hyperlink"/>
          </w:rPr>
          <w:t xml:space="preserve">https://doi.org/10.2307/1941026</w:t>
        </w:r>
      </w:hyperlink>
    </w:p>
    <w:bookmarkEnd w:id="185"/>
    <w:bookmarkStart w:id="187" w:name="ref-lutz_twentiethcentury_2009"/>
    <w:p>
      <w:pPr>
        <w:pStyle w:val="Bibliography"/>
      </w:pPr>
      <w:r>
        <w:t xml:space="preserve">Lutz, J. A., van Wagtendonk, J. W., &amp; Franklin, J. F. (2009). Twentieth-century decline of large-diameter trees in</w:t>
      </w:r>
      <w:r>
        <w:t xml:space="preserve"> </w:t>
      </w:r>
      <w:r>
        <w:t xml:space="preserve">Yosemite National Park</w:t>
      </w:r>
      <w:r>
        <w:t xml:space="preserve">,</w:t>
      </w:r>
      <w:r>
        <w:t xml:space="preserve"> </w:t>
      </w:r>
      <w:r>
        <w:t xml:space="preserve">California</w:t>
      </w:r>
      <w:r>
        <w:t xml:space="preserve">,</w:t>
      </w:r>
      <w:r>
        <w:t xml:space="preserve"> </w:t>
      </w:r>
      <w:r>
        <w:t xml:space="preserve">USA</w:t>
      </w:r>
      <w:r>
        <w:t xml:space="preserve"> </w:t>
      </w:r>
      <w:r>
        <w:t xml:space="preserve">[Journal {{Article}}].</w:t>
      </w:r>
      <w:r>
        <w:t xml:space="preserve"> </w:t>
      </w:r>
      <w:r>
        <w:rPr>
          <w:iCs/>
          <w:i/>
        </w:rPr>
        <w:t xml:space="preserve">Forest Ecology and Management</w:t>
      </w:r>
      <w:r>
        <w:t xml:space="preserve">,</w:t>
      </w:r>
      <w:r>
        <w:t xml:space="preserve"> </w:t>
      </w:r>
      <w:r>
        <w:rPr>
          <w:iCs/>
          <w:i/>
        </w:rPr>
        <w:t xml:space="preserve">257</w:t>
      </w:r>
      <w:r>
        <w:t xml:space="preserve">(11), 12.</w:t>
      </w:r>
      <w:r>
        <w:t xml:space="preserve"> </w:t>
      </w:r>
      <w:hyperlink r:id="rId186">
        <w:r>
          <w:rPr>
            <w:rStyle w:val="Hyperlink"/>
          </w:rPr>
          <w:t xml:space="preserve">https://doi.org/10.1016/j.foreco.2009.03.009</w:t>
        </w:r>
      </w:hyperlink>
    </w:p>
    <w:bookmarkEnd w:id="187"/>
    <w:bookmarkStart w:id="189"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188">
        <w:r>
          <w:rPr>
            <w:rStyle w:val="Hyperlink"/>
          </w:rPr>
          <w:t xml:space="preserve">https://doi.org/10.1111/gcb.14273</w:t>
        </w:r>
      </w:hyperlink>
    </w:p>
    <w:bookmarkEnd w:id="189"/>
    <w:bookmarkStart w:id="191"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90">
        <w:r>
          <w:rPr>
            <w:rStyle w:val="Hyperlink"/>
          </w:rPr>
          <w:t xml:space="preserve">https://doi.org/10.1007/s10584-016-1720-3</w:t>
        </w:r>
      </w:hyperlink>
    </w:p>
    <w:bookmarkEnd w:id="191"/>
    <w:bookmarkStart w:id="193"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192">
        <w:r>
          <w:rPr>
            <w:rStyle w:val="Hyperlink"/>
          </w:rPr>
          <w:t xml:space="preserve">https://doi.org/10.1126/science.aaz9463</w:t>
        </w:r>
      </w:hyperlink>
    </w:p>
    <w:bookmarkEnd w:id="193"/>
    <w:bookmarkStart w:id="195"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194">
        <w:r>
          <w:rPr>
            <w:rStyle w:val="Hyperlink"/>
          </w:rPr>
          <w:t xml:space="preserve">https://doi.org/10.1111/nph.16996</w:t>
        </w:r>
      </w:hyperlink>
    </w:p>
    <w:bookmarkEnd w:id="195"/>
    <w:bookmarkStart w:id="197"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196">
        <w:r>
          <w:rPr>
            <w:rStyle w:val="Hyperlink"/>
          </w:rPr>
          <w:t xml:space="preserve">https://doi.org/10.1111/nph.14633</w:t>
        </w:r>
      </w:hyperlink>
    </w:p>
    <w:bookmarkEnd w:id="197"/>
    <w:bookmarkStart w:id="199"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198">
        <w:r>
          <w:rPr>
            <w:rStyle w:val="Hyperlink"/>
          </w:rPr>
          <w:t xml:space="preserve">https://doi.org/10.1016/j.cageo.2011.01.013</w:t>
        </w:r>
      </w:hyperlink>
    </w:p>
    <w:bookmarkEnd w:id="199"/>
    <w:bookmarkStart w:id="200"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200"/>
    <w:bookmarkStart w:id="202"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201">
        <w:r>
          <w:rPr>
            <w:rStyle w:val="Hyperlink"/>
          </w:rPr>
          <w:t xml:space="preserve">https://doi.org/10.1111/j.1600-0587.2013.00205.x</w:t>
        </w:r>
      </w:hyperlink>
    </w:p>
    <w:bookmarkEnd w:id="202"/>
    <w:bookmarkStart w:id="204"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203">
        <w:r>
          <w:rPr>
            <w:rStyle w:val="Hyperlink"/>
          </w:rPr>
          <w:t xml:space="preserve">https://doi.org/10.1111/gcb.12599</w:t>
        </w:r>
      </w:hyperlink>
    </w:p>
    <w:bookmarkEnd w:id="204"/>
    <w:bookmarkStart w:id="206" w:name="ref-niklas_plant_2004"/>
    <w:p>
      <w:pPr>
        <w:pStyle w:val="Bibliography"/>
      </w:pPr>
      <w:r>
        <w:t xml:space="preserve">Niklas, K. J. (2004). Plant allometry: Is there a grand unifying theory?</w:t>
      </w:r>
      <w:r>
        <w:t xml:space="preserve"> </w:t>
      </w:r>
      <w:r>
        <w:rPr>
          <w:iCs/>
          <w:i/>
        </w:rPr>
        <w:t xml:space="preserve">Biological Reviews</w:t>
      </w:r>
      <w:r>
        <w:t xml:space="preserve">,</w:t>
      </w:r>
      <w:r>
        <w:t xml:space="preserve"> </w:t>
      </w:r>
      <w:r>
        <w:rPr>
          <w:iCs/>
          <w:i/>
        </w:rPr>
        <w:t xml:space="preserve">79</w:t>
      </w:r>
      <w:r>
        <w:t xml:space="preserve">(4), 871–889.</w:t>
      </w:r>
      <w:r>
        <w:t xml:space="preserve"> </w:t>
      </w:r>
      <w:hyperlink r:id="rId205">
        <w:r>
          <w:rPr>
            <w:rStyle w:val="Hyperlink"/>
          </w:rPr>
          <w:t xml:space="preserve">https://doi.org/10.1017/S1464793104006499</w:t>
        </w:r>
      </w:hyperlink>
    </w:p>
    <w:bookmarkEnd w:id="206"/>
    <w:bookmarkStart w:id="208"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207">
        <w:r>
          <w:rPr>
            <w:rStyle w:val="Hyperlink"/>
          </w:rPr>
          <w:t xml:space="preserve">https://doi.org/10.1111/j.1365-2486.2010.02222.x</w:t>
        </w:r>
      </w:hyperlink>
    </w:p>
    <w:bookmarkEnd w:id="208"/>
    <w:bookmarkStart w:id="209" w:name="ref-oliver_forest_1990"/>
    <w:p>
      <w:pPr>
        <w:pStyle w:val="Bibliography"/>
      </w:pPr>
      <w:r>
        <w:t xml:space="preserve">Oliver, C. D., &amp; Larson, B. C. (1990).</w:t>
      </w:r>
      <w:r>
        <w:t xml:space="preserve"> </w:t>
      </w:r>
      <w:r>
        <w:rPr>
          <w:iCs/>
          <w:i/>
        </w:rPr>
        <w:t xml:space="preserve">Forest stand dynamics</w:t>
      </w:r>
      <w:r>
        <w:t xml:space="preserve">.</w:t>
      </w:r>
      <w:r>
        <w:t xml:space="preserve"> </w:t>
      </w:r>
      <w:r>
        <w:t xml:space="preserve">McGraw-Hill Pub. Co.</w:t>
      </w:r>
    </w:p>
    <w:bookmarkEnd w:id="209"/>
    <w:bookmarkStart w:id="211"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210">
        <w:r>
          <w:rPr>
            <w:rStyle w:val="Hyperlink"/>
          </w:rPr>
          <w:t xml:space="preserve">https://doi.org/10.3389/ffgc.2020.00039</w:t>
        </w:r>
      </w:hyperlink>
    </w:p>
    <w:bookmarkEnd w:id="211"/>
    <w:bookmarkStart w:id="213"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212">
        <w:r>
          <w:rPr>
            <w:rStyle w:val="Hyperlink"/>
          </w:rPr>
          <w:t xml:space="preserve">https://doi.org/10.1111/ele.13575</w:t>
        </w:r>
      </w:hyperlink>
    </w:p>
    <w:bookmarkEnd w:id="213"/>
    <w:bookmarkStart w:id="215"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14">
        <w:r>
          <w:rPr>
            <w:rStyle w:val="Hyperlink"/>
          </w:rPr>
          <w:t xml:space="preserve">https://doi.org/10.1111/gcb.12826</w:t>
        </w:r>
      </w:hyperlink>
    </w:p>
    <w:bookmarkEnd w:id="215"/>
    <w:bookmarkStart w:id="216"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16"/>
    <w:bookmarkStart w:id="218"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17">
        <w:r>
          <w:rPr>
            <w:rStyle w:val="Hyperlink"/>
          </w:rPr>
          <w:t xml:space="preserve">https://doi.org/10.1186/s40663-018-0139-x</w:t>
        </w:r>
      </w:hyperlink>
    </w:p>
    <w:bookmarkEnd w:id="218"/>
    <w:bookmarkStart w:id="220"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19">
        <w:r>
          <w:rPr>
            <w:rStyle w:val="Hyperlink"/>
          </w:rPr>
          <w:t xml:space="preserve">https://doi.org/10.1016/j.dendro.2020.125678</w:t>
        </w:r>
      </w:hyperlink>
    </w:p>
    <w:bookmarkEnd w:id="220"/>
    <w:bookmarkStart w:id="222"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21">
        <w:r>
          <w:rPr>
            <w:rStyle w:val="Hyperlink"/>
          </w:rPr>
          <w:t xml:space="preserve">https://doi.org/10.1111/2041-210X.12753</w:t>
        </w:r>
      </w:hyperlink>
    </w:p>
    <w:bookmarkEnd w:id="222"/>
    <w:bookmarkStart w:id="224"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23">
        <w:r>
          <w:rPr>
            <w:rStyle w:val="Hyperlink"/>
          </w:rPr>
          <w:t xml:space="preserve">https://doi.org/10.1002/ecy.3264</w:t>
        </w:r>
      </w:hyperlink>
    </w:p>
    <w:bookmarkEnd w:id="224"/>
    <w:bookmarkStart w:id="226"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25">
        <w:r>
          <w:rPr>
            <w:rStyle w:val="Hyperlink"/>
          </w:rPr>
          <w:t xml:space="preserve">https://doi.org/10.1111/j.1469-8137.2007.02235.x</w:t>
        </w:r>
      </w:hyperlink>
    </w:p>
    <w:bookmarkEnd w:id="226"/>
    <w:bookmarkStart w:id="228"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27">
        <w:r>
          <w:rPr>
            <w:rStyle w:val="Hyperlink"/>
          </w:rPr>
          <w:t xml:space="preserve">https://doi.org/10.1016/j.foreco.2015.08.034</w:t>
        </w:r>
      </w:hyperlink>
    </w:p>
    <w:bookmarkEnd w:id="228"/>
    <w:bookmarkStart w:id="230"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29">
        <w:r>
          <w:rPr>
            <w:rStyle w:val="Hyperlink"/>
          </w:rPr>
          <w:t xml:space="preserve">https://doi.org/10.1186/s40663-018-0133-3</w:t>
        </w:r>
      </w:hyperlink>
    </w:p>
    <w:bookmarkEnd w:id="230"/>
    <w:bookmarkStart w:id="232" w:name="ref-schurman_climatic_2019"/>
    <w:p>
      <w:pPr>
        <w:pStyle w:val="Bibliography"/>
      </w:pPr>
      <w:r>
        <w:t xml:space="preserve">Schurman, J. S., Babst, F., Björklund, J., Rydval, M., Bače, R., Čada, V., Janda, P., Mikolas, M., Saulnier, M., Trotsiuk, V., &amp; Svoboda, M. (2019). The climatic drivers of primary</w:t>
      </w:r>
      <w:r>
        <w:t xml:space="preserve"> </w:t>
      </w:r>
      <w:r>
        <w:t xml:space="preserve">Picea</w:t>
      </w:r>
      <w:r>
        <w:t xml:space="preserve"> </w:t>
      </w:r>
      <w:r>
        <w:t xml:space="preserve">forest growth along the</w:t>
      </w:r>
      <w:r>
        <w:t xml:space="preserve"> </w:t>
      </w:r>
      <w:r>
        <w:t xml:space="preserve">Carpathian</w:t>
      </w:r>
      <w:r>
        <w:t xml:space="preserve"> </w:t>
      </w:r>
      <w:r>
        <w:t xml:space="preserve">arc are changing under rising temperatures.</w:t>
      </w:r>
      <w:r>
        <w:t xml:space="preserve"> </w:t>
      </w:r>
      <w:r>
        <w:rPr>
          <w:iCs/>
          <w:i/>
        </w:rPr>
        <w:t xml:space="preserve">Global Change Biology</w:t>
      </w:r>
      <w:r>
        <w:t xml:space="preserve">,</w:t>
      </w:r>
      <w:r>
        <w:t xml:space="preserve"> </w:t>
      </w:r>
      <w:r>
        <w:rPr>
          <w:iCs/>
          <w:i/>
        </w:rPr>
        <w:t xml:space="preserve">25</w:t>
      </w:r>
      <w:r>
        <w:t xml:space="preserve">(9), 3136–3150.</w:t>
      </w:r>
      <w:r>
        <w:t xml:space="preserve"> </w:t>
      </w:r>
      <w:hyperlink r:id="rId231">
        <w:r>
          <w:rPr>
            <w:rStyle w:val="Hyperlink"/>
          </w:rPr>
          <w:t xml:space="preserve">https://doi.org/10.1111/gcb.14721</w:t>
        </w:r>
      </w:hyperlink>
    </w:p>
    <w:bookmarkEnd w:id="232"/>
    <w:bookmarkStart w:id="234"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33">
        <w:r>
          <w:rPr>
            <w:rStyle w:val="Hyperlink"/>
          </w:rPr>
          <w:t xml:space="preserve">https://doi.org/10.1111/1365-2435.12775</w:t>
        </w:r>
      </w:hyperlink>
    </w:p>
    <w:bookmarkEnd w:id="234"/>
    <w:bookmarkStart w:id="236"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35">
        <w:r>
          <w:rPr>
            <w:rStyle w:val="Hyperlink"/>
          </w:rPr>
          <w:t xml:space="preserve">https://doi.org/10.1002/2016JG003528</w:t>
        </w:r>
      </w:hyperlink>
    </w:p>
    <w:bookmarkEnd w:id="236"/>
    <w:bookmarkStart w:id="237"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37"/>
    <w:bookmarkStart w:id="239"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38">
        <w:r>
          <w:rPr>
            <w:rStyle w:val="Hyperlink"/>
          </w:rPr>
          <w:t xml:space="preserve">https://doi.org/10.1038/nature12914</w:t>
        </w:r>
      </w:hyperlink>
    </w:p>
    <w:bookmarkEnd w:id="239"/>
    <w:bookmarkStart w:id="240"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40"/>
    <w:bookmarkStart w:id="242"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41">
        <w:r>
          <w:rPr>
            <w:rStyle w:val="Hyperlink"/>
          </w:rPr>
          <w:t xml:space="preserve">https://doi.org/10.1126/science.aaw7578</w:t>
        </w:r>
      </w:hyperlink>
    </w:p>
    <w:bookmarkEnd w:id="242"/>
    <w:bookmarkStart w:id="244"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43">
        <w:r>
          <w:rPr>
            <w:rStyle w:val="Hyperlink"/>
          </w:rPr>
          <w:t xml:space="preserve">https://doi.org/10.1088/1748-9326/11/11/114007</w:t>
        </w:r>
      </w:hyperlink>
    </w:p>
    <w:bookmarkEnd w:id="244"/>
    <w:bookmarkStart w:id="246"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45">
        <w:r>
          <w:rPr>
            <w:rStyle w:val="Hyperlink"/>
          </w:rPr>
          <w:t xml:space="preserve">https://doi.org/10.1007/s11258-007-9345-2</w:t>
        </w:r>
      </w:hyperlink>
    </w:p>
    <w:bookmarkEnd w:id="246"/>
    <w:bookmarkStart w:id="248"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47">
        <w:r>
          <w:rPr>
            <w:rStyle w:val="Hyperlink"/>
          </w:rPr>
          <w:t xml:space="preserve">https://doi.org/10.1016/j.agrformet.2017.08.007</w:t>
        </w:r>
      </w:hyperlink>
    </w:p>
    <w:bookmarkEnd w:id="248"/>
    <w:bookmarkStart w:id="250"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49">
        <w:r>
          <w:rPr>
            <w:rStyle w:val="Hyperlink"/>
          </w:rPr>
          <w:t xml:space="preserve">https://doi.org/10.1111/gcb.14120</w:t>
        </w:r>
      </w:hyperlink>
    </w:p>
    <w:bookmarkEnd w:id="250"/>
    <w:bookmarkStart w:id="252"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51">
        <w:r>
          <w:rPr>
            <w:rStyle w:val="Hyperlink"/>
          </w:rPr>
          <w:t xml:space="preserve">https://doi.org/10.1007/978-94-007-1242-3_2</w:t>
        </w:r>
      </w:hyperlink>
    </w:p>
    <w:bookmarkEnd w:id="252"/>
    <w:bookmarkStart w:id="25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53">
        <w:r>
          <w:rPr>
            <w:rStyle w:val="Hyperlink"/>
          </w:rPr>
          <w:t xml:space="preserve">https://doi.org/10.5194/cp-9-1481-2013</w:t>
        </w:r>
      </w:hyperlink>
    </w:p>
    <w:bookmarkEnd w:id="254"/>
    <w:bookmarkStart w:id="256"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55">
        <w:r>
          <w:rPr>
            <w:rStyle w:val="Hyperlink"/>
          </w:rPr>
          <w:t xml:space="preserve">https://doi.org/10.1002/joc.2117</w:t>
        </w:r>
      </w:hyperlink>
    </w:p>
    <w:bookmarkEnd w:id="256"/>
    <w:bookmarkStart w:id="258"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57">
        <w:r>
          <w:rPr>
            <w:rStyle w:val="Hyperlink"/>
          </w:rPr>
          <w:t xml:space="preserve">https://doi.org/10.1007/s00468-018-1767-z</w:t>
        </w:r>
      </w:hyperlink>
    </w:p>
    <w:bookmarkEnd w:id="258"/>
    <w:bookmarkStart w:id="260"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59">
        <w:r>
          <w:rPr>
            <w:rStyle w:val="Hyperlink"/>
          </w:rPr>
          <w:t xml:space="preserve">https://doi.org/10.1016/j.agrformet.2017.07.015</w:t>
        </w:r>
      </w:hyperlink>
    </w:p>
    <w:bookmarkEnd w:id="260"/>
    <w:bookmarkStart w:id="262"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61">
        <w:r>
          <w:rPr>
            <w:rStyle w:val="Hyperlink"/>
          </w:rPr>
          <w:t xml:space="preserve">https://doi.org/10.1111/2041-210X.12590</w:t>
        </w:r>
      </w:hyperlink>
    </w:p>
    <w:bookmarkEnd w:id="262"/>
    <w:bookmarkStart w:id="264"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63">
        <w:r>
          <w:rPr>
            <w:rStyle w:val="Hyperlink"/>
          </w:rPr>
          <w:t xml:space="preserve">https://doi.org/10.1038/ngeo2313</w:t>
        </w:r>
      </w:hyperlink>
    </w:p>
    <w:bookmarkEnd w:id="264"/>
    <w:bookmarkStart w:id="266"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65">
        <w:r>
          <w:rPr>
            <w:rStyle w:val="Hyperlink"/>
          </w:rPr>
          <w:t xml:space="preserve">https://doi.org/10.1007/s00442-013-2846-x</w:t>
        </w:r>
      </w:hyperlink>
    </w:p>
    <w:bookmarkEnd w:id="266"/>
    <w:bookmarkStart w:id="268"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67">
        <w:r>
          <w:rPr>
            <w:rStyle w:val="Hyperlink"/>
          </w:rPr>
          <w:t xml:space="preserve">https://doi.org/10.1890/0012-9615(2006)076[0549:HCGEDW]2.0.CO;2</w:t>
        </w:r>
      </w:hyperlink>
    </w:p>
    <w:bookmarkEnd w:id="268"/>
    <w:bookmarkStart w:id="270"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69">
        <w:r>
          <w:rPr>
            <w:rStyle w:val="Hyperlink"/>
          </w:rPr>
          <w:t xml:space="preserve">https://doi.org/10.1016/j.foreco.2009.03.007</w:t>
        </w:r>
      </w:hyperlink>
    </w:p>
    <w:bookmarkEnd w:id="270"/>
    <w:bookmarkStart w:id="272"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71">
        <w:r>
          <w:rPr>
            <w:rStyle w:val="Hyperlink"/>
          </w:rPr>
          <w:t xml:space="preserve">https://doi.org/10.1111/nph.16866</w:t>
        </w:r>
      </w:hyperlink>
    </w:p>
    <w:bookmarkEnd w:id="272"/>
    <w:bookmarkStart w:id="274"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73">
        <w:r>
          <w:rPr>
            <w:rStyle w:val="Hyperlink"/>
          </w:rPr>
          <w:t xml:space="preserve">https://doi.org/10.1038/nclimate1693</w:t>
        </w:r>
      </w:hyperlink>
    </w:p>
    <w:bookmarkEnd w:id="274"/>
    <w:bookmarkStart w:id="276"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75">
        <w:r>
          <w:rPr>
            <w:rStyle w:val="Hyperlink"/>
          </w:rPr>
          <w:t xml:space="preserve">https://doi.org/10.1111/gcb.15057</w:t>
        </w:r>
      </w:hyperlink>
    </w:p>
    <w:bookmarkEnd w:id="276"/>
    <w:bookmarkStart w:id="278"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77">
        <w:r>
          <w:rPr>
            <w:rStyle w:val="Hyperlink"/>
          </w:rPr>
          <w:t xml:space="preserve">https://doi.org/10.1111/j.1467-9868.2010.00749.x</w:t>
        </w:r>
      </w:hyperlink>
    </w:p>
    <w:bookmarkEnd w:id="278"/>
    <w:bookmarkStart w:id="280"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279">
        <w:r>
          <w:rPr>
            <w:rStyle w:val="Hyperlink"/>
          </w:rPr>
          <w:t xml:space="preserve">https://doi.org/10.1191/095968399667128516</w:t>
        </w:r>
      </w:hyperlink>
    </w:p>
    <w:bookmarkEnd w:id="280"/>
    <w:bookmarkStart w:id="282"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281">
        <w:r>
          <w:rPr>
            <w:rStyle w:val="Hyperlink"/>
          </w:rPr>
          <w:t xml:space="preserve">https://doi.org/10.1016/j.dendro.2012.08.001</w:t>
        </w:r>
      </w:hyperlink>
    </w:p>
    <w:bookmarkEnd w:id="282"/>
    <w:bookmarkStart w:id="284"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283">
        <w:r>
          <w:rPr>
            <w:rStyle w:val="Hyperlink"/>
          </w:rPr>
          <w:t xml:space="preserve">https://doi.org/10.1111/ecog.01335</w:t>
        </w:r>
      </w:hyperlink>
    </w:p>
    <w:bookmarkEnd w:id="284"/>
    <w:bookmarkStart w:id="286"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285">
        <w:r>
          <w:rPr>
            <w:rStyle w:val="Hyperlink"/>
          </w:rPr>
          <w:t xml:space="preserve">https://doi.org/10.1111/gcb.15092</w:t>
        </w:r>
      </w:hyperlink>
    </w:p>
    <w:bookmarkEnd w:id="286"/>
    <w:bookmarkEnd w:id="287"/>
    <w:bookmarkEnd w:id="288"/>
    <w:sectPr w:rsidR="00300462" w:rsidSect="00F93C6A">
      <w:footerReference w:type="even" r:id="rId9"/>
      <w:footerReference w:type="default" r:id="rId10"/>
      <w:pgSz w:w="12240" w:h="15840"/>
      <w:pgMar w:top="1440" w:right="1440" w:bottom="1440" w:left="144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 w:type="paragraph" w:styleId="Footer">
    <w:name w:val="footer"/>
    <w:basedOn w:val="Normal"/>
    <w:link w:val="FooterChar"/>
    <w:unhideWhenUsed/>
    <w:rsid w:val="00F93C6A"/>
    <w:pPr>
      <w:tabs>
        <w:tab w:val="center" w:pos="4680"/>
        <w:tab w:val="right" w:pos="9360"/>
      </w:tabs>
      <w:spacing w:after="0"/>
    </w:pPr>
  </w:style>
  <w:style w:type="character" w:customStyle="1" w:styleId="FooterChar">
    <w:name w:val="Footer Char"/>
    <w:basedOn w:val="DefaultParagraphFont"/>
    <w:link w:val="Footer"/>
    <w:rsid w:val="00F93C6A"/>
    <w:rPr>
      <w:rFonts w:ascii="Palatino Linotype" w:hAnsi="Palatino Linotype"/>
      <w:sz w:val="22"/>
      <w:szCs w:val="22"/>
    </w:rPr>
  </w:style>
  <w:style w:type="character" w:styleId="PageNumber">
    <w:name w:val="page number"/>
    <w:basedOn w:val="DefaultParagraphFont"/>
    <w:semiHidden/>
    <w:unhideWhenUsed/>
    <w:rsid w:val="00F93C6A"/>
  </w:style>
  <w:style w:type="character" w:styleId="LineNumb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35"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23" Target="https://doi.org/10.1002/ecy.3264" TargetMode="External" /><Relationship Type="http://schemas.openxmlformats.org/officeDocument/2006/relationships/hyperlink" Id="rId255" Target="https://doi.org/10.1002/joc.2117" TargetMode="External" /><Relationship Type="http://schemas.openxmlformats.org/officeDocument/2006/relationships/hyperlink" Id="rId160"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51"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65"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57" Target="https://doi.org/10.1007/s00468-018-1767-z" TargetMode="External" /><Relationship Type="http://schemas.openxmlformats.org/officeDocument/2006/relationships/hyperlink" Id="rId147" Target="https://doi.org/10.1007/s10021-020-00501-y" TargetMode="External" /><Relationship Type="http://schemas.openxmlformats.org/officeDocument/2006/relationships/hyperlink" Id="rId156"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90" Target="https://doi.org/10.1007/s10584-016-1720-3" TargetMode="External" /><Relationship Type="http://schemas.openxmlformats.org/officeDocument/2006/relationships/hyperlink" Id="rId145" Target="https://doi.org/10.1007/s10584-020-02868-2" TargetMode="External" /><Relationship Type="http://schemas.openxmlformats.org/officeDocument/2006/relationships/hyperlink" Id="rId245"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59" Target="https://doi.org/10.1016/j.agrformet.2017.07.015" TargetMode="External" /><Relationship Type="http://schemas.openxmlformats.org/officeDocument/2006/relationships/hyperlink" Id="rId247"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98" Target="https://doi.org/10.1016/j.cageo.2011.01.013" TargetMode="External" /><Relationship Type="http://schemas.openxmlformats.org/officeDocument/2006/relationships/hyperlink" Id="rId281" Target="https://doi.org/10.1016/j.dendro.2012.08.001" TargetMode="External" /><Relationship Type="http://schemas.openxmlformats.org/officeDocument/2006/relationships/hyperlink" Id="rId180" Target="https://doi.org/10.1016/j.dendro.2019.125652" TargetMode="External" /><Relationship Type="http://schemas.openxmlformats.org/officeDocument/2006/relationships/hyperlink" Id="rId219"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69" Target="https://doi.org/10.1016/j.foreco.2009.03.007" TargetMode="External" /><Relationship Type="http://schemas.openxmlformats.org/officeDocument/2006/relationships/hyperlink" Id="rId186" Target="https://doi.org/10.1016/j.foreco.2009.03.009" TargetMode="External" /><Relationship Type="http://schemas.openxmlformats.org/officeDocument/2006/relationships/hyperlink" Id="rId116" Target="https://doi.org/10.1016/j.foreco.2009.08.009" TargetMode="External" /><Relationship Type="http://schemas.openxmlformats.org/officeDocument/2006/relationships/hyperlink" Id="rId227"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0" Target="https://doi.org/10.1016/j.tplants.2012.08.005" TargetMode="External" /><Relationship Type="http://schemas.openxmlformats.org/officeDocument/2006/relationships/hyperlink" Id="rId205" Target="https://doi.org/10.1017/S1464793104006499"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6" Target="https://doi.org/10.1029/2018JG004573" TargetMode="External" /><Relationship Type="http://schemas.openxmlformats.org/officeDocument/2006/relationships/hyperlink" Id="rId238" Target="https://doi.org/10.1038/nature12914" TargetMode="External" /><Relationship Type="http://schemas.openxmlformats.org/officeDocument/2006/relationships/hyperlink" Id="rId273" Target="https://doi.org/10.1038/nclimate1693" TargetMode="External" /><Relationship Type="http://schemas.openxmlformats.org/officeDocument/2006/relationships/hyperlink" Id="rId263"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72"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2" Target="https://doi.org/10.1038/s41597-020-0453-3" TargetMode="External" /><Relationship Type="http://schemas.openxmlformats.org/officeDocument/2006/relationships/hyperlink" Id="rId178" Target="https://doi.org/10.1038/srep46158" TargetMode="External" /><Relationship Type="http://schemas.openxmlformats.org/officeDocument/2006/relationships/hyperlink" Id="rId149"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43" Target="https://doi.org/10.1088/1748-9326/11/11/114007" TargetMode="External" /><Relationship Type="http://schemas.openxmlformats.org/officeDocument/2006/relationships/hyperlink" Id="rId170" Target="https://doi.org/10.1088/1748-9326/abd8fb" TargetMode="External" /><Relationship Type="http://schemas.openxmlformats.org/officeDocument/2006/relationships/hyperlink" Id="rId174"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33"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61" Target="https://doi.org/10.1111/2041-210X.12590" TargetMode="External" /><Relationship Type="http://schemas.openxmlformats.org/officeDocument/2006/relationships/hyperlink" Id="rId221" Target="https://doi.org/10.1111/2041-210X.12753" TargetMode="External" /><Relationship Type="http://schemas.openxmlformats.org/officeDocument/2006/relationships/hyperlink" Id="rId283"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212" Target="https://doi.org/10.1111/ele.13575" TargetMode="External" /><Relationship Type="http://schemas.openxmlformats.org/officeDocument/2006/relationships/hyperlink" Id="rId203"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14" Target="https://doi.org/10.1111/gcb.12826" TargetMode="External" /><Relationship Type="http://schemas.openxmlformats.org/officeDocument/2006/relationships/hyperlink" Id="rId154"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49" Target="https://doi.org/10.1111/gcb.14120" TargetMode="External" /><Relationship Type="http://schemas.openxmlformats.org/officeDocument/2006/relationships/hyperlink" Id="rId188" Target="https://doi.org/10.1111/gcb.14273" TargetMode="External" /><Relationship Type="http://schemas.openxmlformats.org/officeDocument/2006/relationships/hyperlink" Id="rId158" Target="https://doi.org/10.1111/gcb.14561" TargetMode="External" /><Relationship Type="http://schemas.openxmlformats.org/officeDocument/2006/relationships/hyperlink" Id="rId231" Target="https://doi.org/10.1111/gcb.14721" TargetMode="External" /><Relationship Type="http://schemas.openxmlformats.org/officeDocument/2006/relationships/hyperlink" Id="rId275" Target="https://doi.org/10.1111/gcb.15057" TargetMode="External" /><Relationship Type="http://schemas.openxmlformats.org/officeDocument/2006/relationships/hyperlink" Id="rId285" Target="https://doi.org/10.1111/gcb.15092" TargetMode="External" /><Relationship Type="http://schemas.openxmlformats.org/officeDocument/2006/relationships/hyperlink" Id="rId207" Target="https://doi.org/10.1111/j.1365-2486.2010.02222.x" TargetMode="External" /><Relationship Type="http://schemas.openxmlformats.org/officeDocument/2006/relationships/hyperlink" Id="rId277" Target="https://doi.org/10.1111/j.1467-9868.2010.00749.x" TargetMode="External" /><Relationship Type="http://schemas.openxmlformats.org/officeDocument/2006/relationships/hyperlink" Id="rId225" Target="https://doi.org/10.1111/j.1469-8137.2007.02235.x" TargetMode="External" /><Relationship Type="http://schemas.openxmlformats.org/officeDocument/2006/relationships/hyperlink" Id="rId201" Target="https://doi.org/10.1111/j.1600-0587.2013.00205.x" TargetMode="External" /><Relationship Type="http://schemas.openxmlformats.org/officeDocument/2006/relationships/hyperlink" Id="rId168" Target="https://doi.org/10.1111/jbi.13199" TargetMode="External" /><Relationship Type="http://schemas.openxmlformats.org/officeDocument/2006/relationships/hyperlink" Id="rId196" Target="https://doi.org/10.1111/nph.14633" TargetMode="External" /><Relationship Type="http://schemas.openxmlformats.org/officeDocument/2006/relationships/hyperlink" Id="rId176" Target="https://doi.org/10.1111/nph.15668" TargetMode="External" /><Relationship Type="http://schemas.openxmlformats.org/officeDocument/2006/relationships/hyperlink" Id="rId164" Target="https://doi.org/10.1111/nph.15906" TargetMode="External" /><Relationship Type="http://schemas.openxmlformats.org/officeDocument/2006/relationships/hyperlink" Id="rId271" Target="https://doi.org/10.1111/nph.16866" TargetMode="External" /><Relationship Type="http://schemas.openxmlformats.org/officeDocument/2006/relationships/hyperlink" Id="rId194"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41" Target="https://doi.org/10.1126/science.aaw7578" TargetMode="External" /><Relationship Type="http://schemas.openxmlformats.org/officeDocument/2006/relationships/hyperlink" Id="rId192"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82" Target="https://doi.org/10.1139/x89-102"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29" Target="https://doi.org/10.1186/s40663-018-0133-3" TargetMode="External" /><Relationship Type="http://schemas.openxmlformats.org/officeDocument/2006/relationships/hyperlink" Id="rId217" Target="https://doi.org/10.1186/s40663-018-0139-x" TargetMode="External" /><Relationship Type="http://schemas.openxmlformats.org/officeDocument/2006/relationships/hyperlink" Id="rId279" Target="https://doi.org/10.1191/095968399667128516" TargetMode="External" /><Relationship Type="http://schemas.openxmlformats.org/officeDocument/2006/relationships/hyperlink" Id="rId267" Target="https://doi.org/10.1890/0012-9615(2006)076[0549:HCGEDW]2.0.CO;2" TargetMode="External" /><Relationship Type="http://schemas.openxmlformats.org/officeDocument/2006/relationships/hyperlink" Id="rId152" Target="https://doi.org/10.2307/1937545" TargetMode="External" /><Relationship Type="http://schemas.openxmlformats.org/officeDocument/2006/relationships/hyperlink" Id="rId184" Target="https://doi.org/10.2307/1941026" TargetMode="External" /><Relationship Type="http://schemas.openxmlformats.org/officeDocument/2006/relationships/hyperlink" Id="rId210"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53"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35"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23" Target="https://doi.org/10.1002/ecy.3264" TargetMode="External" /><Relationship Type="http://schemas.openxmlformats.org/officeDocument/2006/relationships/hyperlink" Id="rId255" Target="https://doi.org/10.1002/joc.2117" TargetMode="External" /><Relationship Type="http://schemas.openxmlformats.org/officeDocument/2006/relationships/hyperlink" Id="rId160"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51"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65"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57" Target="https://doi.org/10.1007/s00468-018-1767-z" TargetMode="External" /><Relationship Type="http://schemas.openxmlformats.org/officeDocument/2006/relationships/hyperlink" Id="rId147" Target="https://doi.org/10.1007/s10021-020-00501-y" TargetMode="External" /><Relationship Type="http://schemas.openxmlformats.org/officeDocument/2006/relationships/hyperlink" Id="rId156"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90" Target="https://doi.org/10.1007/s10584-016-1720-3" TargetMode="External" /><Relationship Type="http://schemas.openxmlformats.org/officeDocument/2006/relationships/hyperlink" Id="rId145" Target="https://doi.org/10.1007/s10584-020-02868-2" TargetMode="External" /><Relationship Type="http://schemas.openxmlformats.org/officeDocument/2006/relationships/hyperlink" Id="rId245"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59" Target="https://doi.org/10.1016/j.agrformet.2017.07.015" TargetMode="External" /><Relationship Type="http://schemas.openxmlformats.org/officeDocument/2006/relationships/hyperlink" Id="rId247"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98" Target="https://doi.org/10.1016/j.cageo.2011.01.013" TargetMode="External" /><Relationship Type="http://schemas.openxmlformats.org/officeDocument/2006/relationships/hyperlink" Id="rId281" Target="https://doi.org/10.1016/j.dendro.2012.08.001" TargetMode="External" /><Relationship Type="http://schemas.openxmlformats.org/officeDocument/2006/relationships/hyperlink" Id="rId180" Target="https://doi.org/10.1016/j.dendro.2019.125652" TargetMode="External" /><Relationship Type="http://schemas.openxmlformats.org/officeDocument/2006/relationships/hyperlink" Id="rId219"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69" Target="https://doi.org/10.1016/j.foreco.2009.03.007" TargetMode="External" /><Relationship Type="http://schemas.openxmlformats.org/officeDocument/2006/relationships/hyperlink" Id="rId186" Target="https://doi.org/10.1016/j.foreco.2009.03.009" TargetMode="External" /><Relationship Type="http://schemas.openxmlformats.org/officeDocument/2006/relationships/hyperlink" Id="rId116" Target="https://doi.org/10.1016/j.foreco.2009.08.009" TargetMode="External" /><Relationship Type="http://schemas.openxmlformats.org/officeDocument/2006/relationships/hyperlink" Id="rId227"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0" Target="https://doi.org/10.1016/j.tplants.2012.08.005" TargetMode="External" /><Relationship Type="http://schemas.openxmlformats.org/officeDocument/2006/relationships/hyperlink" Id="rId205" Target="https://doi.org/10.1017/S1464793104006499"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6" Target="https://doi.org/10.1029/2018JG004573" TargetMode="External" /><Relationship Type="http://schemas.openxmlformats.org/officeDocument/2006/relationships/hyperlink" Id="rId238" Target="https://doi.org/10.1038/nature12914" TargetMode="External" /><Relationship Type="http://schemas.openxmlformats.org/officeDocument/2006/relationships/hyperlink" Id="rId273" Target="https://doi.org/10.1038/nclimate1693" TargetMode="External" /><Relationship Type="http://schemas.openxmlformats.org/officeDocument/2006/relationships/hyperlink" Id="rId263"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72"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2" Target="https://doi.org/10.1038/s41597-020-0453-3" TargetMode="External" /><Relationship Type="http://schemas.openxmlformats.org/officeDocument/2006/relationships/hyperlink" Id="rId178" Target="https://doi.org/10.1038/srep46158" TargetMode="External" /><Relationship Type="http://schemas.openxmlformats.org/officeDocument/2006/relationships/hyperlink" Id="rId149"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43" Target="https://doi.org/10.1088/1748-9326/11/11/114007" TargetMode="External" /><Relationship Type="http://schemas.openxmlformats.org/officeDocument/2006/relationships/hyperlink" Id="rId170" Target="https://doi.org/10.1088/1748-9326/abd8fb" TargetMode="External" /><Relationship Type="http://schemas.openxmlformats.org/officeDocument/2006/relationships/hyperlink" Id="rId174"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33"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61" Target="https://doi.org/10.1111/2041-210X.12590" TargetMode="External" /><Relationship Type="http://schemas.openxmlformats.org/officeDocument/2006/relationships/hyperlink" Id="rId221" Target="https://doi.org/10.1111/2041-210X.12753" TargetMode="External" /><Relationship Type="http://schemas.openxmlformats.org/officeDocument/2006/relationships/hyperlink" Id="rId283"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212" Target="https://doi.org/10.1111/ele.13575" TargetMode="External" /><Relationship Type="http://schemas.openxmlformats.org/officeDocument/2006/relationships/hyperlink" Id="rId203"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14" Target="https://doi.org/10.1111/gcb.12826" TargetMode="External" /><Relationship Type="http://schemas.openxmlformats.org/officeDocument/2006/relationships/hyperlink" Id="rId154"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49" Target="https://doi.org/10.1111/gcb.14120" TargetMode="External" /><Relationship Type="http://schemas.openxmlformats.org/officeDocument/2006/relationships/hyperlink" Id="rId188" Target="https://doi.org/10.1111/gcb.14273" TargetMode="External" /><Relationship Type="http://schemas.openxmlformats.org/officeDocument/2006/relationships/hyperlink" Id="rId158" Target="https://doi.org/10.1111/gcb.14561" TargetMode="External" /><Relationship Type="http://schemas.openxmlformats.org/officeDocument/2006/relationships/hyperlink" Id="rId231" Target="https://doi.org/10.1111/gcb.14721" TargetMode="External" /><Relationship Type="http://schemas.openxmlformats.org/officeDocument/2006/relationships/hyperlink" Id="rId275" Target="https://doi.org/10.1111/gcb.15057" TargetMode="External" /><Relationship Type="http://schemas.openxmlformats.org/officeDocument/2006/relationships/hyperlink" Id="rId285" Target="https://doi.org/10.1111/gcb.15092" TargetMode="External" /><Relationship Type="http://schemas.openxmlformats.org/officeDocument/2006/relationships/hyperlink" Id="rId207" Target="https://doi.org/10.1111/j.1365-2486.2010.02222.x" TargetMode="External" /><Relationship Type="http://schemas.openxmlformats.org/officeDocument/2006/relationships/hyperlink" Id="rId277" Target="https://doi.org/10.1111/j.1467-9868.2010.00749.x" TargetMode="External" /><Relationship Type="http://schemas.openxmlformats.org/officeDocument/2006/relationships/hyperlink" Id="rId225" Target="https://doi.org/10.1111/j.1469-8137.2007.02235.x" TargetMode="External" /><Relationship Type="http://schemas.openxmlformats.org/officeDocument/2006/relationships/hyperlink" Id="rId201" Target="https://doi.org/10.1111/j.1600-0587.2013.00205.x" TargetMode="External" /><Relationship Type="http://schemas.openxmlformats.org/officeDocument/2006/relationships/hyperlink" Id="rId168" Target="https://doi.org/10.1111/jbi.13199" TargetMode="External" /><Relationship Type="http://schemas.openxmlformats.org/officeDocument/2006/relationships/hyperlink" Id="rId196" Target="https://doi.org/10.1111/nph.14633" TargetMode="External" /><Relationship Type="http://schemas.openxmlformats.org/officeDocument/2006/relationships/hyperlink" Id="rId176" Target="https://doi.org/10.1111/nph.15668" TargetMode="External" /><Relationship Type="http://schemas.openxmlformats.org/officeDocument/2006/relationships/hyperlink" Id="rId164" Target="https://doi.org/10.1111/nph.15906" TargetMode="External" /><Relationship Type="http://schemas.openxmlformats.org/officeDocument/2006/relationships/hyperlink" Id="rId271" Target="https://doi.org/10.1111/nph.16866" TargetMode="External" /><Relationship Type="http://schemas.openxmlformats.org/officeDocument/2006/relationships/hyperlink" Id="rId194"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41" Target="https://doi.org/10.1126/science.aaw7578" TargetMode="External" /><Relationship Type="http://schemas.openxmlformats.org/officeDocument/2006/relationships/hyperlink" Id="rId192"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82" Target="https://doi.org/10.1139/x89-102"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29" Target="https://doi.org/10.1186/s40663-018-0133-3" TargetMode="External" /><Relationship Type="http://schemas.openxmlformats.org/officeDocument/2006/relationships/hyperlink" Id="rId217" Target="https://doi.org/10.1186/s40663-018-0139-x" TargetMode="External" /><Relationship Type="http://schemas.openxmlformats.org/officeDocument/2006/relationships/hyperlink" Id="rId279" Target="https://doi.org/10.1191/095968399667128516" TargetMode="External" /><Relationship Type="http://schemas.openxmlformats.org/officeDocument/2006/relationships/hyperlink" Id="rId267" Target="https://doi.org/10.1890/0012-9615(2006)076[0549:HCGEDW]2.0.CO;2" TargetMode="External" /><Relationship Type="http://schemas.openxmlformats.org/officeDocument/2006/relationships/hyperlink" Id="rId152" Target="https://doi.org/10.2307/1937545" TargetMode="External" /><Relationship Type="http://schemas.openxmlformats.org/officeDocument/2006/relationships/hyperlink" Id="rId184" Target="https://doi.org/10.2307/1941026" TargetMode="External" /><Relationship Type="http://schemas.openxmlformats.org/officeDocument/2006/relationships/hyperlink" Id="rId210"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53"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7957</Words>
  <Characters>45356</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2021-03-18T12:12:08Z</dcterms:created>
  <dcterms:modified xsi:type="dcterms:W3CDTF">2021-03-18T12:12:08Z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@kaspar_speciesspecific_2021; @alexander_potential_2019; @finzi_carbon_2020; @birch_birch_2020; @birch_birch_2020b; @birch_birch_2020c; @birch_birch_2020d</vt:lpwstr>
  </property>
  <property fmtid="{D5CDD505-2E9C-101B-9397-08002B2CF9AE}" pid="5" name="output">
    <vt:lpwstr/>
  </property>
</Properties>
</file>